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6146">
      <w:pPr>
        <w:pStyle w:val="2"/>
        <w:spacing w:line="251" w:lineRule="auto"/>
      </w:pPr>
    </w:p>
    <w:p w14:paraId="51E46304">
      <w:pPr>
        <w:spacing w:before="184" w:line="182" w:lineRule="auto"/>
        <w:ind w:left="2194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0" w:name="bookmark3"/>
      <w:bookmarkEnd w:id="0"/>
      <w:r>
        <w:rPr>
          <w:rFonts w:ascii="微软雅黑" w:hAnsi="微软雅黑" w:eastAsia="微软雅黑" w:cs="微软雅黑"/>
          <w:b/>
          <w:bCs/>
          <w:spacing w:val="9"/>
          <w:sz w:val="43"/>
          <w:szCs w:val="43"/>
        </w:rPr>
        <w:t>住院医师规范化培训</w:t>
      </w:r>
    </w:p>
    <w:p w14:paraId="67D2B350">
      <w:pPr>
        <w:spacing w:before="4" w:line="204" w:lineRule="auto"/>
        <w:ind w:left="3070" w:right="1607" w:hanging="1544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1" w:name="bookmark3"/>
      <w:bookmarkEnd w:id="1"/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操作技能直接观察评估指南</w:t>
      </w:r>
      <w:r>
        <w:rPr>
          <w:rFonts w:ascii="微软雅黑" w:hAnsi="微软雅黑" w:eastAsia="微软雅黑" w:cs="微软雅黑"/>
          <w:b/>
          <w:bCs/>
          <w:sz w:val="43"/>
          <w:szCs w:val="43"/>
        </w:rPr>
        <w:t xml:space="preserve"> </w:t>
      </w:r>
      <w:bookmarkStart w:id="2" w:name="bookmark3"/>
      <w:bookmarkEnd w:id="2"/>
      <w:r>
        <w:rPr>
          <w:rFonts w:ascii="微软雅黑" w:hAnsi="微软雅黑" w:eastAsia="微软雅黑" w:cs="微软雅黑"/>
          <w:b/>
          <w:bCs/>
          <w:spacing w:val="-10"/>
          <w:sz w:val="35"/>
          <w:szCs w:val="35"/>
        </w:rPr>
        <w:t>（2022年版）</w:t>
      </w:r>
    </w:p>
    <w:p w14:paraId="6B92F9FF">
      <w:pPr>
        <w:pStyle w:val="2"/>
        <w:spacing w:line="256" w:lineRule="auto"/>
      </w:pPr>
    </w:p>
    <w:p w14:paraId="0855E3C4">
      <w:pPr>
        <w:pStyle w:val="2"/>
        <w:spacing w:line="256" w:lineRule="auto"/>
      </w:pPr>
    </w:p>
    <w:p w14:paraId="54CF82D9">
      <w:pPr>
        <w:spacing w:before="101" w:line="364" w:lineRule="auto"/>
        <w:ind w:left="26" w:right="96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操作技能直接观察（</w:t>
      </w:r>
      <w:r>
        <w:rPr>
          <w:rFonts w:ascii="仿宋" w:hAnsi="仿宋" w:eastAsia="仿宋" w:cs="仿宋"/>
          <w:sz w:val="31"/>
          <w:szCs w:val="31"/>
        </w:rPr>
        <w:t>Direct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Observation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of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Procedural Skills</w:t>
      </w:r>
      <w:r>
        <w:rPr>
          <w:rFonts w:ascii="仿宋" w:hAnsi="仿宋" w:eastAsia="仿宋" w:cs="仿宋"/>
          <w:spacing w:val="11"/>
          <w:sz w:val="31"/>
          <w:szCs w:val="31"/>
        </w:rPr>
        <w:t>，简称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11"/>
          <w:sz w:val="31"/>
          <w:szCs w:val="31"/>
        </w:rPr>
        <w:t>）评估是指在临床实践过程中，指导医师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直接观察住院医师执行临床操作的过程，并且对住</w:t>
      </w:r>
      <w:r>
        <w:rPr>
          <w:rFonts w:ascii="仿宋" w:hAnsi="仿宋" w:eastAsia="仿宋" w:cs="仿宋"/>
          <w:spacing w:val="8"/>
          <w:sz w:val="31"/>
          <w:szCs w:val="31"/>
        </w:rPr>
        <w:t>院医师进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行评估、反馈的形成性评价方式。</w:t>
      </w:r>
    </w:p>
    <w:p w14:paraId="5E2D0D3A">
      <w:pPr>
        <w:spacing w:before="280" w:line="228" w:lineRule="auto"/>
        <w:ind w:left="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 w14:paraId="15D5D556">
      <w:pPr>
        <w:spacing w:before="242" w:line="297" w:lineRule="auto"/>
        <w:ind w:left="34" w:right="241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1）明确住院医师临床操作技能的评级、优点和不足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之处等；</w:t>
      </w:r>
    </w:p>
    <w:p w14:paraId="070CA77F">
      <w:pPr>
        <w:spacing w:before="250" w:line="297" w:lineRule="auto"/>
        <w:ind w:left="52" w:right="241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2）根据住院医师临床操作技能的不足之处，指导医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师给予改进的意见和建议；</w:t>
      </w:r>
    </w:p>
    <w:p w14:paraId="1CD89F4B">
      <w:pPr>
        <w:spacing w:before="251" w:line="295" w:lineRule="auto"/>
        <w:ind w:left="42" w:right="241" w:firstLine="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3）根据既往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6"/>
          <w:sz w:val="31"/>
          <w:szCs w:val="31"/>
        </w:rPr>
        <w:t>评估的记录，指导医师调整临床轮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转中住院医师临床操作技能的培训重点。</w:t>
      </w:r>
    </w:p>
    <w:p w14:paraId="25419A55">
      <w:pPr>
        <w:spacing w:before="277" w:line="229" w:lineRule="auto"/>
        <w:ind w:left="2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形式</w:t>
      </w:r>
    </w:p>
    <w:p w14:paraId="55716FAD">
      <w:pPr>
        <w:spacing w:before="156" w:line="366" w:lineRule="auto"/>
        <w:ind w:left="30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9"/>
          <w:sz w:val="31"/>
          <w:szCs w:val="31"/>
        </w:rPr>
        <w:t>评估由培训基地统筹管理，专业基地组织实施，指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导医师和住院医师协商发起，在临床实践过程中，以住院医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师执行临床操作的过程为评估内容，指导医师通过直接观察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法，按照统一的评估量表，对住院医师进行评估并予以反馈、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指导。</w:t>
      </w:r>
    </w:p>
    <w:p w14:paraId="0128AC1E">
      <w:pPr>
        <w:spacing w:line="366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6" w:h="16839"/>
          <w:pgMar w:top="1135" w:right="1704" w:bottom="1201" w:left="1785" w:header="860" w:footer="966" w:gutter="0"/>
          <w:cols w:space="720" w:num="1"/>
        </w:sectPr>
      </w:pPr>
    </w:p>
    <w:p w14:paraId="6020B8A9">
      <w:pPr>
        <w:spacing w:before="101" w:line="228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3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组织安排</w:t>
      </w:r>
    </w:p>
    <w:p w14:paraId="4B6F347A">
      <w:pPr>
        <w:spacing w:before="176" w:line="229" w:lineRule="auto"/>
        <w:ind w:left="2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3.1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组织工作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8"/>
          <w:sz w:val="31"/>
          <w:szCs w:val="31"/>
        </w:rPr>
        <w:t>评估由培训基地统筹管理，各专业基</w:t>
      </w:r>
    </w:p>
    <w:p w14:paraId="5FCCF4DF">
      <w:pPr>
        <w:spacing w:before="177" w:line="319" w:lineRule="auto"/>
        <w:ind w:left="41" w:right="244" w:hanging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地组织实施，包括制订评估计划和教学督导要求、统一</w:t>
      </w:r>
      <w:r>
        <w:rPr>
          <w:rFonts w:ascii="仿宋" w:hAnsi="仿宋" w:eastAsia="仿宋" w:cs="仿宋"/>
          <w:spacing w:val="8"/>
          <w:sz w:val="31"/>
          <w:szCs w:val="31"/>
        </w:rPr>
        <w:t>教学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实施程序、开展指导医师及住院医师培训等。</w:t>
      </w:r>
    </w:p>
    <w:p w14:paraId="5E2BB7AF">
      <w:pPr>
        <w:spacing w:before="46" w:line="229" w:lineRule="auto"/>
        <w:ind w:left="2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3.2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培训安排</w:t>
      </w:r>
    </w:p>
    <w:p w14:paraId="05AFAB84">
      <w:pPr>
        <w:spacing w:before="174" w:line="297" w:lineRule="auto"/>
        <w:ind w:left="26" w:right="24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3.2.1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指导医师培训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参加评估的指导医师必</w:t>
      </w:r>
      <w:r>
        <w:rPr>
          <w:rFonts w:ascii="仿宋" w:hAnsi="仿宋" w:eastAsia="仿宋" w:cs="仿宋"/>
          <w:spacing w:val="7"/>
          <w:sz w:val="31"/>
          <w:szCs w:val="31"/>
        </w:rPr>
        <w:t>须接受</w:t>
      </w:r>
      <w:r>
        <w:rPr>
          <w:rFonts w:ascii="仿宋" w:hAnsi="仿宋" w:eastAsia="仿宋" w:cs="仿宋"/>
          <w:sz w:val="31"/>
          <w:szCs w:val="31"/>
        </w:rPr>
        <w:t xml:space="preserve">DOPS  </w:t>
      </w:r>
      <w:r>
        <w:rPr>
          <w:rFonts w:ascii="仿宋" w:hAnsi="仿宋" w:eastAsia="仿宋" w:cs="仿宋"/>
          <w:spacing w:val="9"/>
          <w:sz w:val="31"/>
          <w:szCs w:val="31"/>
        </w:rPr>
        <w:t>评估前培训，掌握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9"/>
          <w:sz w:val="31"/>
          <w:szCs w:val="31"/>
        </w:rPr>
        <w:t>评估量表的指标细则、流程和规范实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施的要求。</w:t>
      </w:r>
    </w:p>
    <w:p w14:paraId="11BB5617">
      <w:pPr>
        <w:spacing w:before="167" w:line="3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3.2.2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住院医师培训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教学职能部门组织住院</w:t>
      </w:r>
      <w:r>
        <w:rPr>
          <w:rFonts w:ascii="仿宋" w:hAnsi="仿宋" w:eastAsia="仿宋" w:cs="仿宋"/>
          <w:spacing w:val="7"/>
          <w:sz w:val="31"/>
          <w:szCs w:val="31"/>
        </w:rPr>
        <w:t>医师的</w:t>
      </w:r>
      <w:r>
        <w:rPr>
          <w:rFonts w:ascii="仿宋" w:hAnsi="仿宋" w:eastAsia="仿宋" w:cs="仿宋"/>
          <w:sz w:val="31"/>
          <w:szCs w:val="31"/>
        </w:rPr>
        <w:t xml:space="preserve">DOPS   </w:t>
      </w:r>
      <w:r>
        <w:rPr>
          <w:rFonts w:ascii="仿宋" w:hAnsi="仿宋" w:eastAsia="仿宋" w:cs="仿宋"/>
          <w:spacing w:val="6"/>
          <w:sz w:val="31"/>
          <w:szCs w:val="31"/>
        </w:rPr>
        <w:t>评估前培训，使住院医师充分理解形成性评价的目的和意义，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熟悉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9"/>
          <w:sz w:val="31"/>
          <w:szCs w:val="31"/>
        </w:rPr>
        <w:t>的评估流程和要求。</w:t>
      </w:r>
    </w:p>
    <w:p w14:paraId="564AD6EA">
      <w:pPr>
        <w:spacing w:before="251" w:line="335" w:lineRule="auto"/>
        <w:ind w:left="23" w:right="244" w:firstLine="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3.3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评估频次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住院医师在规范化培训期间应根</w:t>
      </w:r>
      <w:r>
        <w:rPr>
          <w:rFonts w:ascii="仿宋" w:hAnsi="仿宋" w:eastAsia="仿宋" w:cs="仿宋"/>
          <w:spacing w:val="7"/>
          <w:sz w:val="31"/>
          <w:szCs w:val="31"/>
        </w:rPr>
        <w:t>据专业基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地教学要求进行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10"/>
          <w:sz w:val="31"/>
          <w:szCs w:val="31"/>
        </w:rPr>
        <w:t>评估，建议第一年住院医师至少每月1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次，视住院医师能力的提升，可以适当减少频次，至少</w:t>
      </w:r>
      <w:r>
        <w:rPr>
          <w:rFonts w:ascii="仿宋" w:hAnsi="仿宋" w:eastAsia="仿宋" w:cs="仿宋"/>
          <w:spacing w:val="8"/>
          <w:sz w:val="31"/>
          <w:szCs w:val="31"/>
        </w:rPr>
        <w:t>每两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个月1次。</w:t>
      </w:r>
    </w:p>
    <w:p w14:paraId="63447FC1">
      <w:pPr>
        <w:spacing w:before="247" w:line="229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3.4</w:t>
      </w:r>
      <w:r>
        <w:rPr>
          <w:rFonts w:ascii="楷体" w:hAnsi="楷体" w:eastAsia="楷体" w:cs="楷体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z w:val="31"/>
          <w:szCs w:val="31"/>
        </w:rPr>
        <w:t>评估时间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每次20～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30分钟。</w:t>
      </w:r>
    </w:p>
    <w:p w14:paraId="4527612F">
      <w:pPr>
        <w:spacing w:before="260" w:line="227" w:lineRule="auto"/>
        <w:ind w:left="1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4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准备工作</w:t>
      </w:r>
    </w:p>
    <w:p w14:paraId="09401F1C">
      <w:pPr>
        <w:spacing w:before="179" w:line="229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4.1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评估发起及病例选择</w:t>
      </w:r>
    </w:p>
    <w:p w14:paraId="543FB658">
      <w:pPr>
        <w:spacing w:before="155" w:line="297" w:lineRule="auto"/>
        <w:ind w:left="63" w:right="388" w:firstLine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1）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7"/>
          <w:sz w:val="31"/>
          <w:szCs w:val="31"/>
        </w:rPr>
        <w:t>评估由指导医师或者住院医师发起，如</w:t>
      </w:r>
      <w:r>
        <w:rPr>
          <w:rFonts w:ascii="仿宋" w:hAnsi="仿宋" w:eastAsia="仿宋" w:cs="仿宋"/>
          <w:spacing w:val="6"/>
          <w:sz w:val="31"/>
          <w:szCs w:val="31"/>
        </w:rPr>
        <w:t>住院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医师发起须经指导医师同意。</w:t>
      </w:r>
    </w:p>
    <w:p w14:paraId="26000DCD">
      <w:pPr>
        <w:spacing w:before="251" w:line="296" w:lineRule="auto"/>
        <w:ind w:left="26" w:right="38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2）操作种类的选择应符合本专业培训细则要求掌握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或熟悉的临床操作，同时兼顾住院医师既往的评估表现。</w:t>
      </w:r>
    </w:p>
    <w:p w14:paraId="3816CECA">
      <w:pPr>
        <w:spacing w:before="254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3）评估确认后，发起者应提前沟通并取得患者和家</w:t>
      </w:r>
    </w:p>
    <w:p w14:paraId="6A8EB600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7" w:type="default"/>
          <w:footerReference r:id="rId8" w:type="default"/>
          <w:pgSz w:w="11906" w:h="16839"/>
          <w:pgMar w:top="1135" w:right="1557" w:bottom="1201" w:left="1785" w:header="860" w:footer="966" w:gutter="0"/>
          <w:cols w:space="720" w:num="1"/>
        </w:sectPr>
      </w:pPr>
    </w:p>
    <w:p w14:paraId="2D2E02A0">
      <w:pPr>
        <w:pStyle w:val="2"/>
        <w:spacing w:line="357" w:lineRule="auto"/>
      </w:pPr>
    </w:p>
    <w:p w14:paraId="6036F00F">
      <w:pPr>
        <w:spacing w:before="101" w:line="222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属的知情同意。</w:t>
      </w:r>
    </w:p>
    <w:p w14:paraId="762000DE">
      <w:pPr>
        <w:spacing w:before="246" w:line="365" w:lineRule="auto"/>
        <w:ind w:left="30" w:right="83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注意事项：</w:t>
      </w:r>
      <w:r>
        <w:rPr>
          <w:rFonts w:ascii="仿宋" w:hAnsi="仿宋" w:eastAsia="仿宋" w:cs="仿宋"/>
          <w:spacing w:val="8"/>
          <w:sz w:val="31"/>
          <w:szCs w:val="31"/>
        </w:rPr>
        <w:t>建议第一年对住院医师的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8"/>
          <w:sz w:val="31"/>
          <w:szCs w:val="31"/>
        </w:rPr>
        <w:t>评估由指导医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师发起，指导医师可以根据住院医师的轮转阶段要求和实际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能力，选择更具有教学和评估价值的操作项目。第二年和第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三年住院医师的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9"/>
          <w:sz w:val="31"/>
          <w:szCs w:val="31"/>
        </w:rPr>
        <w:t>评估，鼓励住院医师根据自身学习目标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选择恰当的操作项目并发起评估。</w:t>
      </w:r>
    </w:p>
    <w:p w14:paraId="35E8D5A2">
      <w:pPr>
        <w:spacing w:before="80" w:line="229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指导医师的准备</w:t>
      </w:r>
    </w:p>
    <w:p w14:paraId="14793B68">
      <w:pPr>
        <w:spacing w:before="153" w:line="296" w:lineRule="auto"/>
        <w:ind w:left="1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1）熟悉住院医师既往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3"/>
          <w:sz w:val="31"/>
          <w:szCs w:val="31"/>
        </w:rPr>
        <w:t>评估或临床操作中的表现，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包括优点和不足之处，确定评估的重点。</w:t>
      </w:r>
    </w:p>
    <w:p w14:paraId="636BDC50">
      <w:pPr>
        <w:spacing w:before="254" w:line="297" w:lineRule="auto"/>
        <w:ind w:left="40" w:right="228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2）掌握患者的病历资料，确定本次的评估目标及要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求。</w:t>
      </w:r>
    </w:p>
    <w:p w14:paraId="54A5D59D">
      <w:pPr>
        <w:spacing w:before="270" w:line="227" w:lineRule="auto"/>
        <w:ind w:left="1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5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实施</w:t>
      </w:r>
    </w:p>
    <w:p w14:paraId="6ED0BC5F">
      <w:pPr>
        <w:spacing w:before="159" w:line="228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5.1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评估规则介绍</w:t>
      </w:r>
    </w:p>
    <w:p w14:paraId="5C2D88D1">
      <w:pPr>
        <w:spacing w:before="243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1）场所：示教室或医生办公室。</w:t>
      </w:r>
    </w:p>
    <w:p w14:paraId="6E5CEFDE">
      <w:pPr>
        <w:spacing w:before="252" w:line="296" w:lineRule="auto"/>
        <w:ind w:left="32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2）指导医师向住院医师告知本次评估的目标及要求，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住院医师需要执行的项目及注意事项等。</w:t>
      </w:r>
    </w:p>
    <w:p w14:paraId="6EA0D2B3">
      <w:pPr>
        <w:spacing w:before="251" w:line="229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评估观察阶段</w:t>
      </w:r>
    </w:p>
    <w:p w14:paraId="479542CD">
      <w:pPr>
        <w:spacing w:before="241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1）场所：病房、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门诊、手术室等。</w:t>
      </w:r>
    </w:p>
    <w:p w14:paraId="48ABA0F0">
      <w:pPr>
        <w:spacing w:before="252"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2）时间：10～20分钟。</w:t>
      </w:r>
    </w:p>
    <w:p w14:paraId="01135A0B">
      <w:pPr>
        <w:spacing w:before="250" w:line="321" w:lineRule="auto"/>
        <w:ind w:left="33" w:right="83" w:hanging="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5.2.1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直接观察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指导医师直接观察</w:t>
      </w:r>
      <w:r>
        <w:rPr>
          <w:rFonts w:ascii="仿宋" w:hAnsi="仿宋" w:eastAsia="仿宋" w:cs="仿宋"/>
          <w:spacing w:val="7"/>
          <w:sz w:val="31"/>
          <w:szCs w:val="31"/>
        </w:rPr>
        <w:t>住院医师的临床操作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过程。指导医师的站位（三角位点原则）应便于观察住院医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师的操作、患者情况、住院医师与患者之间的互动。</w:t>
      </w:r>
    </w:p>
    <w:p w14:paraId="4FDBBBBA">
      <w:pPr>
        <w:spacing w:line="321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135" w:right="1718" w:bottom="1201" w:left="1785" w:header="860" w:footer="967" w:gutter="0"/>
          <w:cols w:space="720" w:num="1"/>
        </w:sectPr>
      </w:pPr>
    </w:p>
    <w:p w14:paraId="562AB0D5">
      <w:pPr>
        <w:spacing w:before="101" w:line="361" w:lineRule="auto"/>
        <w:ind w:left="32" w:right="160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指导医师在观察过程中原则上不提示、不指导、不评价。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不做出任何影响住院医师临床操作过程的行为，包括语言、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眼神及其他肢体动作等。</w:t>
      </w:r>
    </w:p>
    <w:p w14:paraId="492E4F30">
      <w:pPr>
        <w:spacing w:before="50" w:line="363" w:lineRule="auto"/>
        <w:ind w:left="32" w:right="252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注意事项：</w:t>
      </w:r>
      <w:r>
        <w:rPr>
          <w:rFonts w:ascii="仿宋" w:hAnsi="仿宋" w:eastAsia="仿宋" w:cs="仿宋"/>
          <w:spacing w:val="7"/>
          <w:sz w:val="31"/>
          <w:szCs w:val="31"/>
        </w:rPr>
        <w:t>评估过程中，当住院医师出现危险动作、发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生严重错误或者需要帮助时，指导医师应及时介入或者中止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住院医师的临床操作。住院医师在做关键步骤时，指导医师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要保持持续观察，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以确保患者医疗安全。</w:t>
      </w:r>
    </w:p>
    <w:p w14:paraId="4ACE16D0">
      <w:pPr>
        <w:spacing w:before="57" w:line="323" w:lineRule="auto"/>
        <w:ind w:left="53" w:right="252" w:hanging="3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5.2.2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发现与记录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指导医师根据</w:t>
      </w:r>
      <w:r>
        <w:rPr>
          <w:rFonts w:ascii="仿宋" w:hAnsi="仿宋" w:eastAsia="仿宋" w:cs="仿宋"/>
          <w:spacing w:val="7"/>
          <w:sz w:val="31"/>
          <w:szCs w:val="31"/>
        </w:rPr>
        <w:t>评估量表逐一评估住院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医师优点和不足之处，并进行重点记录。评估</w:t>
      </w:r>
      <w:r>
        <w:rPr>
          <w:rFonts w:ascii="仿宋" w:hAnsi="仿宋" w:eastAsia="仿宋" w:cs="仿宋"/>
          <w:spacing w:val="7"/>
          <w:sz w:val="31"/>
          <w:szCs w:val="31"/>
        </w:rPr>
        <w:t>项目中的评估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点包括：</w:t>
      </w:r>
    </w:p>
    <w:p w14:paraId="5D5F193D">
      <w:pPr>
        <w:spacing w:before="246" w:line="296" w:lineRule="auto"/>
        <w:ind w:left="2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1）操作适应证、相关解剖和操作技术的理解：清晰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6"/>
          <w:sz w:val="31"/>
          <w:szCs w:val="31"/>
        </w:rPr>
        <w:t>地说明临床操作的指征、相关的解剖结构和操作的基本步骤。</w:t>
      </w:r>
    </w:p>
    <w:p w14:paraId="142C336B">
      <w:pPr>
        <w:spacing w:before="256" w:line="321" w:lineRule="auto"/>
        <w:ind w:left="30" w:right="25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2）知情同意：操作前完整、清晰地向患者解释临床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操作及其必要性；获取患者同意前，核实患者对临床操作的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理解；认真倾听并回应患者的问题。</w:t>
      </w:r>
    </w:p>
    <w:p w14:paraId="53F3D5C4">
      <w:pPr>
        <w:spacing w:before="254" w:line="296" w:lineRule="auto"/>
        <w:ind w:left="21" w:right="160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3）操作前准备：操作前说明所需的准备，确定特殊</w:t>
      </w:r>
      <w:r>
        <w:rPr>
          <w:rFonts w:ascii="仿宋" w:hAnsi="仿宋" w:eastAsia="仿宋" w:cs="仿宋"/>
          <w:sz w:val="31"/>
          <w:szCs w:val="31"/>
        </w:rPr>
        <w:t xml:space="preserve">  器械、设备等，进行安全检查，并与相关人员进行适当沟通。</w:t>
      </w:r>
    </w:p>
    <w:p w14:paraId="6CE57460">
      <w:pPr>
        <w:spacing w:before="254" w:line="296" w:lineRule="auto"/>
        <w:ind w:left="29" w:right="30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4）镇痛镇静：选择适当的局部镇静方式，并与护理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人员核对；选择正确的注射方式及剂量；确认镇静效果等。</w:t>
      </w:r>
    </w:p>
    <w:p w14:paraId="07C392FB">
      <w:pPr>
        <w:spacing w:before="255" w:line="296" w:lineRule="auto"/>
        <w:ind w:left="40" w:right="396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5）技术能力：遵循临床操作规范，展现出良好的专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业技能；适当使用器械，保护组织，控制出血。</w:t>
      </w:r>
    </w:p>
    <w:p w14:paraId="30816683">
      <w:pPr>
        <w:spacing w:before="253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6）无菌技术：遵循无菌操作技术要求。</w:t>
      </w:r>
    </w:p>
    <w:p w14:paraId="10904E20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10" w:type="default"/>
          <w:footerReference r:id="rId11" w:type="default"/>
          <w:pgSz w:w="11906" w:h="16839"/>
          <w:pgMar w:top="1135" w:right="1550" w:bottom="1201" w:left="1785" w:header="860" w:footer="966" w:gutter="0"/>
          <w:cols w:space="720" w:num="1"/>
        </w:sectPr>
      </w:pPr>
    </w:p>
    <w:p w14:paraId="4F76041A">
      <w:pPr>
        <w:spacing w:before="101" w:line="322" w:lineRule="auto"/>
        <w:ind w:left="36" w:right="13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7）根据需要寻求帮助：预判并应对操作过程中出现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的各种状况，能够意识到自身局限性，适时寻求指导医师的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帮助。</w:t>
      </w:r>
    </w:p>
    <w:p w14:paraId="050C7890">
      <w:pPr>
        <w:spacing w:before="253" w:line="321" w:lineRule="auto"/>
        <w:ind w:left="16" w:right="1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8）操作后处理：操作后对患者进行评估，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以口头和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书面形式向患者及相关人员传达注意事项、健康教育等相关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信息，持续进行患者照护。</w:t>
      </w:r>
    </w:p>
    <w:p w14:paraId="73CB8896">
      <w:pPr>
        <w:spacing w:before="255" w:line="334" w:lineRule="auto"/>
        <w:ind w:left="22" w:right="1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）沟通技能：告知患者病情，解释临床操</w:t>
      </w:r>
      <w:r>
        <w:rPr>
          <w:rFonts w:ascii="仿宋" w:hAnsi="仿宋" w:eastAsia="仿宋" w:cs="仿宋"/>
          <w:spacing w:val="2"/>
          <w:sz w:val="31"/>
          <w:szCs w:val="31"/>
        </w:rPr>
        <w:t>作及其必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要性，解答患者疑问，宣教疾病相关健康知识，与相关人员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进行有效交流，包括语言、非语言的眼神及肢体交流，适当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使用专业术语等。</w:t>
      </w:r>
    </w:p>
    <w:p w14:paraId="38B02717">
      <w:pPr>
        <w:spacing w:before="249" w:line="322" w:lineRule="auto"/>
        <w:ind w:left="45" w:right="16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10）人文关怀/职业素养：建立患者信任，保护患者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隐私，尊重患者，秉持对患者的同情心，为患者着想，回应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患者需求等。</w:t>
      </w:r>
    </w:p>
    <w:p w14:paraId="17AF7DB8">
      <w:pPr>
        <w:spacing w:before="250" w:line="296" w:lineRule="auto"/>
        <w:ind w:left="52" w:right="16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11）整体表现：整个观察过程中，指导医师对住院医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师临床操作技能的综合评估。</w:t>
      </w:r>
    </w:p>
    <w:p w14:paraId="2D4C16CF">
      <w:pPr>
        <w:spacing w:before="275" w:line="232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5.3</w:t>
      </w:r>
      <w:r>
        <w:rPr>
          <w:rFonts w:ascii="楷体" w:hAnsi="楷体" w:eastAsia="楷体" w:cs="楷体"/>
          <w:spacing w:val="2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汇报与反馈阶段</w:t>
      </w:r>
    </w:p>
    <w:p w14:paraId="0DBC5531">
      <w:pPr>
        <w:spacing w:before="150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1）场所：示教室或医生办公室。</w:t>
      </w:r>
    </w:p>
    <w:p w14:paraId="0559620E">
      <w:pPr>
        <w:spacing w:before="251"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2）时间：5～10分钟。</w:t>
      </w:r>
    </w:p>
    <w:p w14:paraId="610AB7F4">
      <w:pPr>
        <w:spacing w:before="270" w:line="297" w:lineRule="auto"/>
        <w:ind w:left="22" w:right="16" w:hanging="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5.3.1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病情汇报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住院医师结合已执行的临床操作，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向指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导医师做病情的简要汇报和分析，包括操作过程、临床决策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及后期管理等。</w:t>
      </w:r>
    </w:p>
    <w:p w14:paraId="05202F83">
      <w:pPr>
        <w:spacing w:before="182" w:line="229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5.3.2</w:t>
      </w:r>
      <w:r>
        <w:rPr>
          <w:rFonts w:ascii="楷体" w:hAnsi="楷体" w:eastAsia="楷体" w:cs="楷体"/>
          <w:spacing w:val="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项</w:t>
      </w:r>
      <w:r>
        <w:rPr>
          <w:rFonts w:ascii="楷体" w:hAnsi="楷体" w:eastAsia="楷体" w:cs="楷体"/>
          <w:spacing w:val="-5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目评级</w:t>
      </w:r>
      <w:r>
        <w:rPr>
          <w:rFonts w:ascii="楷体" w:hAnsi="楷体" w:eastAsia="楷体" w:cs="楷体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3"/>
          <w:sz w:val="31"/>
          <w:szCs w:val="31"/>
        </w:rPr>
        <w:t>评估的评级采用6级制。</w:t>
      </w:r>
    </w:p>
    <w:p w14:paraId="6436FB55">
      <w:pPr>
        <w:spacing w:before="158" w:line="221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1-2级表示住院医师该项目的行为表现未达到合格的医</w:t>
      </w:r>
    </w:p>
    <w:p w14:paraId="62ACEB97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12" w:type="default"/>
          <w:footerReference r:id="rId13" w:type="default"/>
          <w:pgSz w:w="11906" w:h="16839"/>
          <w:pgMar w:top="1135" w:right="1785" w:bottom="1201" w:left="1785" w:header="860" w:footer="967" w:gutter="0"/>
          <w:cols w:space="720" w:num="1"/>
        </w:sectPr>
      </w:pPr>
    </w:p>
    <w:p w14:paraId="3959F05A">
      <w:pPr>
        <w:spacing w:before="101" w:line="364" w:lineRule="auto"/>
        <w:ind w:left="21" w:right="95" w:firstLine="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疗要求（有原则性问题</w:t>
      </w:r>
      <w:r>
        <w:rPr>
          <w:rFonts w:ascii="仿宋" w:hAnsi="仿宋" w:eastAsia="仿宋" w:cs="仿宋"/>
          <w:spacing w:val="33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3-4级表示住院医师该项目的行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为表现达到医疗要求（无原则性问题，有细节不足</w:t>
      </w:r>
      <w:r>
        <w:rPr>
          <w:rFonts w:ascii="仿宋" w:hAnsi="仿宋" w:eastAsia="仿宋" w:cs="仿宋"/>
          <w:spacing w:val="25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5-6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级表示住院医师该项目的行为表现优秀（操作规范，细节到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位）。</w:t>
      </w:r>
    </w:p>
    <w:p w14:paraId="27E3486F">
      <w:pPr>
        <w:spacing w:before="49" w:line="230" w:lineRule="auto"/>
        <w:ind w:left="68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注意事项：</w:t>
      </w:r>
    </w:p>
    <w:p w14:paraId="1135AA70">
      <w:pPr>
        <w:spacing w:before="240" w:line="296" w:lineRule="auto"/>
        <w:ind w:left="23" w:right="24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1）每个项目均应按照临床操作要求进行判断，评估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标准应保持一致；</w:t>
      </w:r>
    </w:p>
    <w:p w14:paraId="0B9477C1">
      <w:pPr>
        <w:spacing w:before="252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2）每个项目应单独评级，不应互相影响。</w:t>
      </w:r>
    </w:p>
    <w:p w14:paraId="2A2F7429">
      <w:pPr>
        <w:spacing w:before="254" w:line="321" w:lineRule="auto"/>
        <w:ind w:left="40" w:hanging="2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5.3.3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指导医师反馈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反馈是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5"/>
          <w:sz w:val="31"/>
          <w:szCs w:val="31"/>
        </w:rPr>
        <w:t>评估</w:t>
      </w:r>
      <w:r>
        <w:rPr>
          <w:rFonts w:ascii="仿宋" w:hAnsi="仿宋" w:eastAsia="仿宋" w:cs="仿宋"/>
          <w:spacing w:val="4"/>
          <w:sz w:val="31"/>
          <w:szCs w:val="31"/>
        </w:rPr>
        <w:t>的重点环节，分为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口</w:t>
      </w:r>
      <w:r>
        <w:rPr>
          <w:rFonts w:ascii="仿宋" w:hAnsi="仿宋" w:eastAsia="仿宋" w:cs="仿宋"/>
          <w:sz w:val="31"/>
          <w:szCs w:val="31"/>
        </w:rPr>
        <w:t xml:space="preserve"> 头反馈和书面反馈，应在评估后即时进行。反馈遵循针对性、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互动性、建设性、鼓励性的原则。</w:t>
      </w:r>
    </w:p>
    <w:p w14:paraId="3DB245CC">
      <w:pPr>
        <w:spacing w:before="255" w:line="356" w:lineRule="auto"/>
        <w:ind w:left="27" w:right="9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推荐采用</w:t>
      </w:r>
      <w:r>
        <w:rPr>
          <w:rFonts w:ascii="仿宋" w:hAnsi="仿宋" w:eastAsia="仿宋" w:cs="仿宋"/>
          <w:sz w:val="31"/>
          <w:szCs w:val="31"/>
        </w:rPr>
        <w:t>FED</w:t>
      </w:r>
      <w:r>
        <w:rPr>
          <w:rFonts w:ascii="仿宋" w:hAnsi="仿宋" w:eastAsia="仿宋" w:cs="仿宋"/>
          <w:spacing w:val="13"/>
          <w:sz w:val="31"/>
          <w:szCs w:val="31"/>
        </w:rPr>
        <w:t>反馈模式：F（</w:t>
      </w:r>
      <w:r>
        <w:rPr>
          <w:rFonts w:ascii="仿宋" w:hAnsi="仿宋" w:eastAsia="仿宋" w:cs="仿宋"/>
          <w:sz w:val="31"/>
          <w:szCs w:val="31"/>
        </w:rPr>
        <w:t>Feedback</w:t>
      </w:r>
      <w:r>
        <w:rPr>
          <w:rFonts w:ascii="仿宋" w:hAnsi="仿宋" w:eastAsia="仿宋" w:cs="仿宋"/>
          <w:spacing w:val="13"/>
          <w:sz w:val="31"/>
          <w:szCs w:val="31"/>
        </w:rPr>
        <w:t>，反馈信息</w:t>
      </w:r>
      <w:r>
        <w:rPr>
          <w:rFonts w:ascii="仿宋" w:hAnsi="仿宋" w:eastAsia="仿宋" w:cs="仿宋"/>
          <w:spacing w:val="-6"/>
          <w:sz w:val="31"/>
          <w:szCs w:val="31"/>
        </w:rPr>
        <w:t>），</w:t>
      </w:r>
      <w:r>
        <w:rPr>
          <w:rFonts w:ascii="仿宋" w:hAnsi="仿宋" w:eastAsia="仿宋" w:cs="仿宋"/>
          <w:spacing w:val="13"/>
          <w:sz w:val="31"/>
          <w:szCs w:val="31"/>
        </w:rPr>
        <w:t>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观陈述住院医师的具体表现，包括优点和不足之处；E</w:t>
      </w:r>
    </w:p>
    <w:p w14:paraId="6C8C73C7">
      <w:pPr>
        <w:spacing w:before="50" w:line="362" w:lineRule="auto"/>
        <w:ind w:left="25" w:right="97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</w:t>
      </w:r>
      <w:r>
        <w:rPr>
          <w:rFonts w:ascii="仿宋" w:hAnsi="仿宋" w:eastAsia="仿宋" w:cs="仿宋"/>
          <w:sz w:val="31"/>
          <w:szCs w:val="31"/>
        </w:rPr>
        <w:t>Encouragement</w:t>
      </w:r>
      <w:r>
        <w:rPr>
          <w:rFonts w:ascii="仿宋" w:hAnsi="仿宋" w:eastAsia="仿宋" w:cs="仿宋"/>
          <w:spacing w:val="14"/>
          <w:sz w:val="31"/>
          <w:szCs w:val="31"/>
        </w:rPr>
        <w:t>，鼓励</w:t>
      </w:r>
      <w:r>
        <w:rPr>
          <w:rFonts w:ascii="仿宋" w:hAnsi="仿宋" w:eastAsia="仿宋" w:cs="仿宋"/>
          <w:spacing w:val="5"/>
          <w:sz w:val="31"/>
          <w:szCs w:val="31"/>
        </w:rPr>
        <w:t>），</w:t>
      </w:r>
      <w:r>
        <w:rPr>
          <w:rFonts w:ascii="仿宋" w:hAnsi="仿宋" w:eastAsia="仿宋" w:cs="仿宋"/>
          <w:spacing w:val="14"/>
          <w:sz w:val="31"/>
          <w:szCs w:val="31"/>
        </w:rPr>
        <w:t>对于住院医师的优点及取得的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进步进行肯定和鼓励；D（</w:t>
      </w:r>
      <w:r>
        <w:rPr>
          <w:rFonts w:ascii="仿宋" w:hAnsi="仿宋" w:eastAsia="仿宋" w:cs="仿宋"/>
          <w:sz w:val="31"/>
          <w:szCs w:val="31"/>
        </w:rPr>
        <w:t>Direction</w:t>
      </w:r>
      <w:r>
        <w:rPr>
          <w:rFonts w:ascii="仿宋" w:hAnsi="仿宋" w:eastAsia="仿宋" w:cs="仿宋"/>
          <w:spacing w:val="12"/>
          <w:sz w:val="31"/>
          <w:szCs w:val="31"/>
        </w:rPr>
        <w:t>，指导</w:t>
      </w:r>
      <w:r>
        <w:rPr>
          <w:rFonts w:ascii="仿宋" w:hAnsi="仿宋" w:eastAsia="仿宋" w:cs="仿宋"/>
          <w:spacing w:val="-5"/>
          <w:sz w:val="31"/>
          <w:szCs w:val="31"/>
        </w:rPr>
        <w:t>），</w:t>
      </w:r>
      <w:r>
        <w:rPr>
          <w:rFonts w:ascii="仿宋" w:hAnsi="仿宋" w:eastAsia="仿宋" w:cs="仿宋"/>
          <w:spacing w:val="12"/>
          <w:sz w:val="31"/>
          <w:szCs w:val="31"/>
        </w:rPr>
        <w:t>针对住院医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师的不足之处，给予改进的建议。</w:t>
      </w:r>
    </w:p>
    <w:p w14:paraId="2ED968E7">
      <w:pPr>
        <w:spacing w:before="48" w:line="230" w:lineRule="auto"/>
        <w:ind w:left="68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注意事项：</w:t>
      </w:r>
    </w:p>
    <w:p w14:paraId="0FC76426">
      <w:pPr>
        <w:spacing w:before="240" w:line="322" w:lineRule="auto"/>
        <w:ind w:left="30" w:right="9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1）建议指导医师反馈中首先告知住院医师每个项目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的评级结果，针对评级陈述住院医师的具体表现，然后进行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鼓励及指导。</w:t>
      </w:r>
    </w:p>
    <w:p w14:paraId="55B67C5C">
      <w:pPr>
        <w:spacing w:before="250" w:line="300" w:lineRule="auto"/>
        <w:ind w:left="34" w:right="241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2）反馈应以有效、正向反馈为主，要客观表述不足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之处。</w:t>
      </w:r>
    </w:p>
    <w:p w14:paraId="5FC98CCF">
      <w:pPr>
        <w:spacing w:line="300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6" w:h="16839"/>
          <w:pgMar w:top="1135" w:right="1704" w:bottom="1201" w:left="1785" w:header="860" w:footer="967" w:gutter="0"/>
          <w:cols w:space="720" w:num="1"/>
        </w:sectPr>
      </w:pPr>
    </w:p>
    <w:p w14:paraId="637D1CCA">
      <w:pPr>
        <w:spacing w:before="101" w:line="296" w:lineRule="auto"/>
        <w:ind w:left="34" w:right="160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3）指导医师反馈后，可以请住院医师对反馈做出回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应，并展开讨论。</w:t>
      </w:r>
    </w:p>
    <w:p w14:paraId="24F70AA8">
      <w:pPr>
        <w:spacing w:before="276" w:line="296" w:lineRule="auto"/>
        <w:ind w:left="26" w:right="16" w:hanging="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5.3.4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资料归档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指导医师反馈后，住院医师和指导医</w:t>
      </w:r>
      <w:r>
        <w:rPr>
          <w:rFonts w:ascii="仿宋" w:hAnsi="仿宋" w:eastAsia="仿宋" w:cs="仿宋"/>
          <w:spacing w:val="6"/>
          <w:sz w:val="31"/>
          <w:szCs w:val="31"/>
        </w:rPr>
        <w:t>师对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本次评估进行满意度评价，并分别签字。评价表等</w:t>
      </w:r>
      <w:r>
        <w:rPr>
          <w:rFonts w:ascii="仿宋" w:hAnsi="仿宋" w:eastAsia="仿宋" w:cs="仿宋"/>
          <w:spacing w:val="8"/>
          <w:sz w:val="31"/>
          <w:szCs w:val="31"/>
        </w:rPr>
        <w:t>资料完整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归档。</w:t>
      </w:r>
    </w:p>
    <w:p w14:paraId="4AD46554">
      <w:pPr>
        <w:spacing w:before="187" w:line="311" w:lineRule="auto"/>
        <w:ind w:left="26" w:right="13" w:firstLine="65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注意事项：</w:t>
      </w:r>
      <w:r>
        <w:rPr>
          <w:rFonts w:ascii="仿宋" w:hAnsi="仿宋" w:eastAsia="仿宋" w:cs="仿宋"/>
          <w:spacing w:val="7"/>
          <w:sz w:val="31"/>
          <w:szCs w:val="31"/>
        </w:rPr>
        <w:t>指导医师和住院医师的满意度评价，仅针对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本次评估的过程效果，与住院医师的临床操作水平无关。</w:t>
      </w:r>
    </w:p>
    <w:p w14:paraId="404779AC">
      <w:pPr>
        <w:spacing w:before="74" w:line="226" w:lineRule="auto"/>
        <w:ind w:left="2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6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其他说明</w:t>
      </w:r>
    </w:p>
    <w:p w14:paraId="4E258F65">
      <w:pPr>
        <w:spacing w:before="182" w:line="222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本指南适用于全国各住院医师规范化培训基地开展的</w:t>
      </w:r>
    </w:p>
    <w:p w14:paraId="6D7DA1EC">
      <w:pPr>
        <w:spacing w:before="185" w:line="318" w:lineRule="auto"/>
        <w:ind w:left="32" w:right="16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9"/>
          <w:sz w:val="31"/>
          <w:szCs w:val="31"/>
        </w:rPr>
        <w:t>评估项目。各基地可以根据实际情况进行适当调整，但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不能偏离其基本框架。</w:t>
      </w:r>
    </w:p>
    <w:p w14:paraId="1FAA4DD0">
      <w:pPr>
        <w:spacing w:before="53" w:line="230" w:lineRule="auto"/>
        <w:ind w:left="2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7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附件</w:t>
      </w:r>
    </w:p>
    <w:p w14:paraId="740472FF">
      <w:pPr>
        <w:spacing w:before="174" w:line="220" w:lineRule="auto"/>
        <w:ind w:left="5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住院医师规范化培训操作技能直接观察评估量表</w:t>
      </w:r>
    </w:p>
    <w:p w14:paraId="3A2C85F8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15" w:type="default"/>
          <w:footerReference r:id="rId16" w:type="default"/>
          <w:pgSz w:w="11906" w:h="16839"/>
          <w:pgMar w:top="1135" w:right="1785" w:bottom="1201" w:left="1785" w:header="860" w:footer="967" w:gutter="0"/>
          <w:cols w:space="720" w:num="1"/>
        </w:sectPr>
      </w:pPr>
    </w:p>
    <w:p w14:paraId="23AC8E15">
      <w:pPr>
        <w:spacing w:before="101" w:line="230" w:lineRule="auto"/>
        <w:ind w:left="65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附件</w:t>
      </w:r>
    </w:p>
    <w:p w14:paraId="1628EAAD">
      <w:pPr>
        <w:spacing w:before="126" w:line="220" w:lineRule="auto"/>
        <w:ind w:left="14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住院医师规范化培训操作技能直接观察评估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量表</w:t>
      </w:r>
    </w:p>
    <w:p w14:paraId="72B39ACA">
      <w:pPr>
        <w:pStyle w:val="2"/>
        <w:spacing w:line="271" w:lineRule="auto"/>
      </w:pPr>
    </w:p>
    <w:p w14:paraId="28203257">
      <w:pPr>
        <w:pStyle w:val="2"/>
        <w:spacing w:line="271" w:lineRule="auto"/>
      </w:pPr>
    </w:p>
    <w:p w14:paraId="641BCFF9">
      <w:pPr>
        <w:spacing w:before="86" w:line="191" w:lineRule="auto"/>
        <w:ind w:left="65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0"/>
          <w:szCs w:val="20"/>
        </w:rPr>
        <w:t>时间：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</w:t>
      </w:r>
      <w:r>
        <w:rPr>
          <w:rFonts w:ascii="仿宋" w:hAnsi="仿宋" w:eastAsia="仿宋" w:cs="仿宋"/>
          <w:spacing w:val="-72"/>
          <w:sz w:val="20"/>
          <w:szCs w:val="20"/>
        </w:rPr>
        <w:t xml:space="preserve"> </w:t>
      </w:r>
      <w:r>
        <w:rPr>
          <w:rFonts w:ascii="仿宋" w:hAnsi="仿宋" w:eastAsia="仿宋" w:cs="仿宋"/>
          <w:sz w:val="20"/>
          <w:szCs w:val="20"/>
        </w:rPr>
        <w:t>年</w:t>
      </w:r>
      <w:r>
        <w:rPr>
          <w:rFonts w:ascii="仿宋" w:hAnsi="仿宋" w:eastAsia="仿宋" w:cs="仿宋"/>
          <w:spacing w:val="5"/>
          <w:sz w:val="20"/>
          <w:szCs w:val="20"/>
          <w:u w:val="single" w:color="auto"/>
        </w:rPr>
        <w:t xml:space="preserve">    </w:t>
      </w:r>
      <w:r>
        <w:rPr>
          <w:rFonts w:ascii="仿宋" w:hAnsi="仿宋" w:eastAsia="仿宋" w:cs="仿宋"/>
          <w:spacing w:val="-81"/>
          <w:sz w:val="20"/>
          <w:szCs w:val="20"/>
        </w:rPr>
        <w:t xml:space="preserve"> </w:t>
      </w:r>
      <w:r>
        <w:rPr>
          <w:rFonts w:ascii="仿宋" w:hAnsi="仿宋" w:eastAsia="仿宋" w:cs="仿宋"/>
          <w:sz w:val="20"/>
          <w:szCs w:val="20"/>
        </w:rPr>
        <w:t>月</w:t>
      </w:r>
      <w:r>
        <w:rPr>
          <w:rFonts w:ascii="仿宋" w:hAnsi="仿宋" w:eastAsia="仿宋" w:cs="仿宋"/>
          <w:spacing w:val="-9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5"/>
          <w:sz w:val="20"/>
          <w:szCs w:val="20"/>
          <w:u w:val="single" w:color="auto"/>
        </w:rPr>
        <w:t xml:space="preserve">    </w:t>
      </w:r>
      <w:r>
        <w:rPr>
          <w:rFonts w:ascii="仿宋" w:hAnsi="仿宋" w:eastAsia="仿宋" w:cs="仿宋"/>
          <w:spacing w:val="-52"/>
          <w:sz w:val="20"/>
          <w:szCs w:val="20"/>
        </w:rPr>
        <w:t xml:space="preserve"> </w:t>
      </w:r>
      <w:r>
        <w:rPr>
          <w:rFonts w:ascii="仿宋" w:hAnsi="仿宋" w:eastAsia="仿宋" w:cs="仿宋"/>
          <w:sz w:val="20"/>
          <w:szCs w:val="20"/>
        </w:rPr>
        <w:t>日</w:t>
      </w:r>
      <w:r>
        <w:rPr>
          <w:rFonts w:ascii="仿宋" w:hAnsi="仿宋" w:eastAsia="仿宋" w:cs="仿宋"/>
          <w:spacing w:val="6"/>
          <w:sz w:val="20"/>
          <w:szCs w:val="20"/>
        </w:rPr>
        <w:t xml:space="preserve">     </w:t>
      </w:r>
      <w:r>
        <w:rPr>
          <w:rFonts w:ascii="仿宋" w:hAnsi="仿宋" w:eastAsia="仿宋" w:cs="仿宋"/>
          <w:sz w:val="20"/>
          <w:szCs w:val="20"/>
        </w:rPr>
        <w:t>地点：</w:t>
      </w:r>
      <w:r>
        <w:rPr>
          <w:rFonts w:ascii="仿宋" w:hAnsi="仿宋" w:eastAsia="仿宋" w:cs="仿宋"/>
          <w:spacing w:val="-6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⑦</w:t>
      </w:r>
      <w:r>
        <w:rPr>
          <w:rFonts w:ascii="仿宋" w:hAnsi="仿宋" w:eastAsia="仿宋" w:cs="仿宋"/>
          <w:sz w:val="20"/>
          <w:szCs w:val="20"/>
        </w:rPr>
        <w:t>病房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□门诊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□急诊</w:t>
      </w:r>
      <w:r>
        <w:rPr>
          <w:rFonts w:ascii="仿宋" w:hAnsi="仿宋" w:eastAsia="仿宋" w:cs="仿宋"/>
          <w:spacing w:val="15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z w:val="20"/>
          <w:szCs w:val="20"/>
        </w:rPr>
        <w:t>□</w:t>
      </w:r>
      <w:r>
        <w:rPr>
          <w:rFonts w:ascii="仿宋" w:hAnsi="仿宋" w:eastAsia="仿宋" w:cs="仿宋"/>
          <w:sz w:val="20"/>
          <w:szCs w:val="20"/>
        </w:rPr>
        <w:t>ICU</w:t>
      </w:r>
      <w:r>
        <w:rPr>
          <w:rFonts w:ascii="仿宋" w:hAnsi="仿宋" w:eastAsia="仿宋" w:cs="仿宋"/>
          <w:spacing w:val="22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□其他</w:t>
      </w:r>
    </w:p>
    <w:p w14:paraId="51F66B42">
      <w:pPr>
        <w:spacing w:before="187" w:line="203" w:lineRule="auto"/>
        <w:ind w:left="63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3"/>
          <w:sz w:val="20"/>
          <w:szCs w:val="20"/>
        </w:rPr>
        <w:t>指导医师：</w:t>
      </w:r>
      <w:r>
        <w:rPr>
          <w:rFonts w:ascii="仿宋" w:hAnsi="仿宋" w:eastAsia="仿宋" w:cs="仿宋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3"/>
          <w:sz w:val="20"/>
          <w:szCs w:val="20"/>
        </w:rPr>
        <w:t>□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主任医师   </w:t>
      </w:r>
      <w:r>
        <w:rPr>
          <w:rFonts w:ascii="微软雅黑" w:hAnsi="微软雅黑" w:eastAsia="微软雅黑" w:cs="微软雅黑"/>
          <w:spacing w:val="13"/>
          <w:sz w:val="20"/>
          <w:szCs w:val="20"/>
        </w:rPr>
        <w:t>□</w:t>
      </w:r>
      <w:r>
        <w:rPr>
          <w:rFonts w:ascii="仿宋" w:hAnsi="仿宋" w:eastAsia="仿宋" w:cs="仿宋"/>
          <w:spacing w:val="13"/>
          <w:sz w:val="20"/>
          <w:szCs w:val="20"/>
        </w:rPr>
        <w:t>副主任医师</w:t>
      </w:r>
      <w:r>
        <w:rPr>
          <w:rFonts w:ascii="仿宋" w:hAnsi="仿宋" w:eastAsia="仿宋" w:cs="仿宋"/>
          <w:spacing w:val="20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13"/>
          <w:sz w:val="20"/>
          <w:szCs w:val="20"/>
        </w:rPr>
        <w:t>□</w:t>
      </w:r>
      <w:r>
        <w:rPr>
          <w:rFonts w:ascii="仿宋" w:hAnsi="仿宋" w:eastAsia="仿宋" w:cs="仿宋"/>
          <w:spacing w:val="13"/>
          <w:sz w:val="20"/>
          <w:szCs w:val="20"/>
        </w:rPr>
        <w:t>主治医师</w:t>
      </w:r>
    </w:p>
    <w:p w14:paraId="15E4048D">
      <w:pPr>
        <w:spacing w:before="168" w:line="204" w:lineRule="auto"/>
        <w:ind w:left="63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2"/>
          <w:sz w:val="20"/>
          <w:szCs w:val="20"/>
        </w:rPr>
        <w:t>住院医师：</w:t>
      </w:r>
      <w:r>
        <w:rPr>
          <w:rFonts w:ascii="仿宋" w:hAnsi="仿宋" w:eastAsia="仿宋" w:cs="仿宋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1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2"/>
          <w:sz w:val="20"/>
          <w:szCs w:val="20"/>
        </w:rPr>
        <w:t>□</w:t>
      </w:r>
      <w:r>
        <w:rPr>
          <w:rFonts w:ascii="仿宋" w:hAnsi="仿宋" w:eastAsia="仿宋" w:cs="仿宋"/>
          <w:spacing w:val="12"/>
          <w:sz w:val="20"/>
          <w:szCs w:val="20"/>
        </w:rPr>
        <w:t xml:space="preserve">第一年     </w:t>
      </w:r>
      <w:r>
        <w:rPr>
          <w:rFonts w:ascii="微软雅黑" w:hAnsi="微软雅黑" w:eastAsia="微软雅黑" w:cs="微软雅黑"/>
          <w:spacing w:val="12"/>
          <w:sz w:val="20"/>
          <w:szCs w:val="20"/>
        </w:rPr>
        <w:t>□</w:t>
      </w:r>
      <w:r>
        <w:rPr>
          <w:rFonts w:ascii="仿宋" w:hAnsi="仿宋" w:eastAsia="仿宋" w:cs="仿宋"/>
          <w:spacing w:val="12"/>
          <w:sz w:val="20"/>
          <w:szCs w:val="20"/>
        </w:rPr>
        <w:t xml:space="preserve">第二年      </w:t>
      </w:r>
      <w:r>
        <w:rPr>
          <w:rFonts w:ascii="微软雅黑" w:hAnsi="微软雅黑" w:eastAsia="微软雅黑" w:cs="微软雅黑"/>
          <w:spacing w:val="12"/>
          <w:sz w:val="20"/>
          <w:szCs w:val="20"/>
        </w:rPr>
        <w:t>□</w:t>
      </w:r>
      <w:r>
        <w:rPr>
          <w:rFonts w:ascii="仿宋" w:hAnsi="仿宋" w:eastAsia="仿宋" w:cs="仿宋"/>
          <w:spacing w:val="12"/>
          <w:sz w:val="20"/>
          <w:szCs w:val="20"/>
        </w:rPr>
        <w:t>第三年</w:t>
      </w:r>
    </w:p>
    <w:p w14:paraId="4DCAE1A4">
      <w:pPr>
        <w:spacing w:before="169" w:line="201" w:lineRule="auto"/>
        <w:ind w:left="64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"/>
          <w:sz w:val="20"/>
          <w:szCs w:val="20"/>
        </w:rPr>
        <w:t>患者资料：</w:t>
      </w:r>
      <w:r>
        <w:rPr>
          <w:rFonts w:ascii="仿宋" w:hAnsi="仿宋" w:eastAsia="仿宋" w:cs="仿宋"/>
          <w:spacing w:val="3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年龄：</w:t>
      </w:r>
      <w:r>
        <w:rPr>
          <w:rFonts w:ascii="仿宋" w:hAnsi="仿宋" w:eastAsia="仿宋" w:cs="仿宋"/>
          <w:spacing w:val="3"/>
          <w:sz w:val="20"/>
          <w:szCs w:val="20"/>
          <w:u w:val="single" w:color="auto"/>
        </w:rPr>
        <w:t xml:space="preserve">       </w:t>
      </w:r>
      <w:r>
        <w:rPr>
          <w:rFonts w:ascii="仿宋" w:hAnsi="仿宋" w:eastAsia="仿宋" w:cs="仿宋"/>
          <w:spacing w:val="2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岁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3"/>
          <w:sz w:val="20"/>
          <w:szCs w:val="20"/>
        </w:rPr>
        <w:t>性别：</w:t>
      </w:r>
      <w:r>
        <w:rPr>
          <w:rFonts w:ascii="仿宋" w:hAnsi="仿宋" w:eastAsia="仿宋" w:cs="仿宋"/>
          <w:spacing w:val="-5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□男</w:t>
      </w:r>
      <w:r>
        <w:rPr>
          <w:rFonts w:ascii="仿宋" w:hAnsi="仿宋" w:eastAsia="仿宋" w:cs="仿宋"/>
          <w:spacing w:val="22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3"/>
          <w:sz w:val="20"/>
          <w:szCs w:val="20"/>
        </w:rPr>
        <w:t>□女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□</w:t>
      </w:r>
      <w:r>
        <w:rPr>
          <w:rFonts w:ascii="仿宋" w:hAnsi="仿宋" w:eastAsia="仿宋" w:cs="仿宋"/>
          <w:spacing w:val="3"/>
          <w:sz w:val="20"/>
          <w:szCs w:val="20"/>
        </w:rPr>
        <w:t>初</w:t>
      </w:r>
      <w:r>
        <w:rPr>
          <w:rFonts w:ascii="仿宋" w:hAnsi="仿宋" w:eastAsia="仿宋" w:cs="仿宋"/>
          <w:spacing w:val="2"/>
          <w:sz w:val="20"/>
          <w:szCs w:val="20"/>
        </w:rPr>
        <w:t>诊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2"/>
          <w:sz w:val="20"/>
          <w:szCs w:val="20"/>
        </w:rPr>
        <w:t>□复诊</w:t>
      </w:r>
    </w:p>
    <w:p w14:paraId="36413D8B">
      <w:pPr>
        <w:spacing w:before="174" w:line="201" w:lineRule="auto"/>
        <w:ind w:left="637"/>
        <w:rPr>
          <w:rFonts w:ascii="仿宋" w:hAnsi="仿宋" w:eastAsia="仿宋" w:cs="仿宋"/>
          <w:sz w:val="20"/>
          <w:szCs w:val="20"/>
        </w:rPr>
      </w:pPr>
      <w:r>
        <w:pict>
          <v:shape id="_x0000_s1029" o:spid="_x0000_s1029" style="position:absolute;left:0pt;margin-left:421.85pt;margin-top:71pt;height:282.55pt;width:2.9pt;z-index:251669504;mso-width-relative:page;mso-height-relative:page;" filled="f" stroked="t" coordsize="58,5650" path="m28,0l28,5650e">
            <v:fill on="f" focussize="0,0"/>
            <v:stroke weight="2.88pt" color="#000000" miterlimit="2" joinstyle="bevel"/>
            <v:imagedata o:title=""/>
            <o:lock v:ext="edit"/>
          </v:shape>
        </w:pict>
      </w:r>
      <w:r>
        <w:pict>
          <v:shape id="_x0000_s1030" o:spid="_x0000_s1030" style="position:absolute;left:0pt;margin-left:368.85pt;margin-top:66.65pt;height:288.3pt;width:2.9pt;z-index:251670528;mso-width-relative:page;mso-height-relative:page;" filled="f" stroked="t" coordsize="58,5765" path="m28,0l28,5765e">
            <v:fill on="f" focussize="0,0"/>
            <v:stroke weight="2.88pt" color="#000000" miterlimit="2" joinstyle="bevel"/>
            <v:imagedata o:title=""/>
            <o:lock v:ext="edit"/>
          </v:shape>
        </w:pict>
      </w:r>
      <w:r>
        <w:rPr>
          <w:rFonts w:ascii="仿宋" w:hAnsi="仿宋" w:eastAsia="仿宋" w:cs="仿宋"/>
          <w:spacing w:val="12"/>
          <w:sz w:val="20"/>
          <w:szCs w:val="20"/>
        </w:rPr>
        <w:t>操作名称：</w:t>
      </w:r>
      <w:r>
        <w:rPr>
          <w:rFonts w:ascii="仿宋" w:hAnsi="仿宋" w:eastAsia="仿宋" w:cs="仿宋"/>
          <w:spacing w:val="1"/>
          <w:sz w:val="20"/>
          <w:szCs w:val="20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spacing w:val="12"/>
          <w:sz w:val="20"/>
          <w:szCs w:val="20"/>
        </w:rPr>
        <w:t xml:space="preserve">  操作复杂程度：</w:t>
      </w:r>
      <w:r>
        <w:rPr>
          <w:rFonts w:ascii="仿宋" w:hAnsi="仿宋" w:eastAsia="仿宋" w:cs="仿宋"/>
          <w:spacing w:val="30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12"/>
          <w:sz w:val="20"/>
          <w:szCs w:val="20"/>
        </w:rPr>
        <w:t>□</w:t>
      </w:r>
      <w:r>
        <w:rPr>
          <w:rFonts w:ascii="仿宋" w:hAnsi="仿宋" w:eastAsia="仿宋" w:cs="仿宋"/>
          <w:spacing w:val="12"/>
          <w:sz w:val="20"/>
          <w:szCs w:val="20"/>
        </w:rPr>
        <w:t xml:space="preserve">低  </w:t>
      </w:r>
      <w:r>
        <w:rPr>
          <w:rFonts w:ascii="微软雅黑" w:hAnsi="微软雅黑" w:eastAsia="微软雅黑" w:cs="微软雅黑"/>
          <w:spacing w:val="12"/>
          <w:sz w:val="20"/>
          <w:szCs w:val="20"/>
        </w:rPr>
        <w:t>□</w:t>
      </w:r>
      <w:r>
        <w:rPr>
          <w:rFonts w:ascii="仿宋" w:hAnsi="仿宋" w:eastAsia="仿宋" w:cs="仿宋"/>
          <w:spacing w:val="12"/>
          <w:sz w:val="20"/>
          <w:szCs w:val="20"/>
        </w:rPr>
        <w:t>中</w:t>
      </w:r>
      <w:r>
        <w:rPr>
          <w:rFonts w:ascii="仿宋" w:hAnsi="仿宋" w:eastAsia="仿宋" w:cs="仿宋"/>
          <w:spacing w:val="14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12"/>
          <w:sz w:val="20"/>
          <w:szCs w:val="20"/>
        </w:rPr>
        <w:t>□</w:t>
      </w:r>
      <w:r>
        <w:rPr>
          <w:rFonts w:ascii="仿宋" w:hAnsi="仿宋" w:eastAsia="仿宋" w:cs="仿宋"/>
          <w:spacing w:val="12"/>
          <w:sz w:val="20"/>
          <w:szCs w:val="20"/>
        </w:rPr>
        <w:t>高</w:t>
      </w:r>
    </w:p>
    <w:p w14:paraId="33368140">
      <w:pPr>
        <w:spacing w:before="180"/>
      </w:pPr>
    </w:p>
    <w:tbl>
      <w:tblPr>
        <w:tblStyle w:val="7"/>
        <w:tblW w:w="84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7"/>
        <w:gridCol w:w="1059"/>
        <w:gridCol w:w="635"/>
        <w:gridCol w:w="634"/>
        <w:gridCol w:w="347"/>
        <w:gridCol w:w="748"/>
        <w:gridCol w:w="494"/>
        <w:gridCol w:w="530"/>
        <w:gridCol w:w="43"/>
      </w:tblGrid>
      <w:tr w14:paraId="7626A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997" w:type="dxa"/>
            <w:vMerge w:val="restart"/>
            <w:tcBorders>
              <w:bottom w:val="nil"/>
            </w:tcBorders>
            <w:vAlign w:val="top"/>
          </w:tcPr>
          <w:p w14:paraId="28C10686">
            <w:pPr>
              <w:spacing w:line="282" w:lineRule="auto"/>
              <w:rPr>
                <w:rFonts w:ascii="Arial"/>
                <w:sz w:val="21"/>
              </w:rPr>
            </w:pPr>
          </w:p>
          <w:p w14:paraId="1A66C972">
            <w:pPr>
              <w:spacing w:line="283" w:lineRule="auto"/>
              <w:rPr>
                <w:rFonts w:ascii="Arial"/>
                <w:sz w:val="21"/>
              </w:rPr>
            </w:pPr>
          </w:p>
          <w:p w14:paraId="048C5032">
            <w:pPr>
              <w:pStyle w:val="8"/>
              <w:spacing w:before="65" w:line="223" w:lineRule="auto"/>
              <w:ind w:left="1582"/>
            </w:pPr>
            <w:r>
              <w:rPr>
                <w:b/>
                <w:bCs/>
                <w:spacing w:val="6"/>
              </w:rPr>
              <w:t>评估项目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2CA915B">
            <w:pPr>
              <w:spacing w:line="283" w:lineRule="auto"/>
              <w:rPr>
                <w:rFonts w:ascii="Arial"/>
                <w:sz w:val="21"/>
              </w:rPr>
            </w:pPr>
          </w:p>
          <w:p w14:paraId="2B35BC24">
            <w:pPr>
              <w:spacing w:line="283" w:lineRule="auto"/>
              <w:rPr>
                <w:rFonts w:ascii="Arial"/>
                <w:sz w:val="21"/>
              </w:rPr>
            </w:pPr>
          </w:p>
          <w:p w14:paraId="5D26D252">
            <w:pPr>
              <w:pStyle w:val="8"/>
              <w:spacing w:before="65" w:line="225" w:lineRule="auto"/>
              <w:ind w:left="115"/>
            </w:pPr>
            <w:r>
              <w:rPr>
                <w:b/>
                <w:bCs/>
                <w:spacing w:val="6"/>
              </w:rPr>
              <w:t>未观察到</w:t>
            </w:r>
          </w:p>
        </w:tc>
        <w:tc>
          <w:tcPr>
            <w:tcW w:w="3388" w:type="dxa"/>
            <w:gridSpan w:val="6"/>
            <w:vAlign w:val="top"/>
          </w:tcPr>
          <w:p w14:paraId="019F9394">
            <w:pPr>
              <w:pStyle w:val="8"/>
              <w:spacing w:before="106" w:line="225" w:lineRule="auto"/>
              <w:ind w:left="1072"/>
            </w:pPr>
            <w:r>
              <w:rPr>
                <w:b/>
                <w:bCs/>
                <w:spacing w:val="6"/>
              </w:rPr>
              <w:t>项目评级结果</w:t>
            </w:r>
          </w:p>
        </w:tc>
        <w:tc>
          <w:tcPr>
            <w:tcW w:w="43" w:type="dxa"/>
            <w:tcBorders>
              <w:right w:val="nil"/>
            </w:tcBorders>
            <w:vAlign w:val="top"/>
          </w:tcPr>
          <w:p w14:paraId="3D26D4BC">
            <w:pPr>
              <w:rPr>
                <w:rFonts w:ascii="Arial"/>
                <w:sz w:val="21"/>
              </w:rPr>
            </w:pPr>
          </w:p>
        </w:tc>
      </w:tr>
      <w:tr w14:paraId="7E979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997" w:type="dxa"/>
            <w:vMerge w:val="continue"/>
            <w:tcBorders>
              <w:top w:val="nil"/>
              <w:bottom w:val="nil"/>
            </w:tcBorders>
            <w:vAlign w:val="top"/>
          </w:tcPr>
          <w:p w14:paraId="66F72F8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BEB3B67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443F99C1">
            <w:pPr>
              <w:pStyle w:val="8"/>
              <w:spacing w:before="243" w:line="224" w:lineRule="auto"/>
              <w:ind w:left="118"/>
            </w:pPr>
            <w:r>
              <w:rPr>
                <w:b/>
                <w:bCs/>
                <w:spacing w:val="5"/>
              </w:rPr>
              <w:t>不符合要求</w:t>
            </w:r>
          </w:p>
        </w:tc>
        <w:tc>
          <w:tcPr>
            <w:tcW w:w="1095" w:type="dxa"/>
            <w:gridSpan w:val="2"/>
            <w:tcBorders>
              <w:right w:val="single" w:color="000000" w:sz="4" w:space="0"/>
            </w:tcBorders>
            <w:vAlign w:val="top"/>
          </w:tcPr>
          <w:p w14:paraId="479F6B44">
            <w:pPr>
              <w:pStyle w:val="8"/>
              <w:spacing w:before="243" w:line="224" w:lineRule="auto"/>
              <w:ind w:left="123"/>
            </w:pPr>
            <w:r>
              <w:rPr>
                <w:b/>
                <w:bCs/>
                <w:spacing w:val="4"/>
              </w:rPr>
              <w:t>符合要求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16BDBBE">
            <w:pPr>
              <w:spacing w:line="43" w:lineRule="exact"/>
            </w:pPr>
            <w:r>
              <w:pict>
                <v:shape id="_x0000_s1031" o:spid="_x0000_s1031" style="height:2.9pt;width:57.35pt;" filled="f" stroked="t" coordsize="1146,58" path="m0,28l1146,28e">
                  <v:fill on="f" focussize="0,0"/>
                  <v:stroke weight="2.88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73E7F9D3">
            <w:pPr>
              <w:pStyle w:val="8"/>
              <w:spacing w:before="200" w:line="225" w:lineRule="auto"/>
              <w:ind w:left="79"/>
            </w:pPr>
            <w:r>
              <w:rPr>
                <w:b/>
                <w:bCs/>
                <w:spacing w:val="6"/>
              </w:rPr>
              <w:t>表现优良</w:t>
            </w:r>
          </w:p>
        </w:tc>
      </w:tr>
      <w:tr w14:paraId="18FC1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997" w:type="dxa"/>
            <w:vMerge w:val="continue"/>
            <w:tcBorders>
              <w:top w:val="nil"/>
            </w:tcBorders>
            <w:vAlign w:val="top"/>
          </w:tcPr>
          <w:p w14:paraId="5D51409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01BBA6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768B7A60">
            <w:pPr>
              <w:pStyle w:val="8"/>
              <w:spacing w:before="132" w:line="185" w:lineRule="auto"/>
              <w:ind w:left="286"/>
            </w:pPr>
            <w:r>
              <w:t>1</w:t>
            </w:r>
          </w:p>
        </w:tc>
        <w:tc>
          <w:tcPr>
            <w:tcW w:w="634" w:type="dxa"/>
            <w:shd w:val="clear" w:color="auto" w:fill="D9D9D9"/>
            <w:vAlign w:val="top"/>
          </w:tcPr>
          <w:p w14:paraId="505B2FDD">
            <w:pPr>
              <w:pStyle w:val="8"/>
              <w:spacing w:before="132" w:line="185" w:lineRule="auto"/>
              <w:ind w:left="282"/>
            </w:pPr>
            <w:r>
              <w:t>2</w:t>
            </w:r>
          </w:p>
        </w:tc>
        <w:tc>
          <w:tcPr>
            <w:tcW w:w="347" w:type="dxa"/>
            <w:vAlign w:val="top"/>
          </w:tcPr>
          <w:p w14:paraId="41C9AAEC">
            <w:pPr>
              <w:pStyle w:val="8"/>
              <w:spacing w:before="132" w:line="187" w:lineRule="auto"/>
              <w:ind w:left="146"/>
            </w:pPr>
            <w:r>
              <w:t>3</w:t>
            </w: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77F159BC">
            <w:pPr>
              <w:pStyle w:val="8"/>
              <w:spacing w:before="132" w:line="185" w:lineRule="auto"/>
              <w:ind w:left="320"/>
            </w:pPr>
            <w:r>
              <w:t>4</w:t>
            </w:r>
          </w:p>
        </w:tc>
        <w:tc>
          <w:tcPr>
            <w:tcW w:w="494" w:type="dxa"/>
            <w:tcBorders>
              <w:left w:val="single" w:color="000000" w:sz="4" w:space="0"/>
            </w:tcBorders>
            <w:vAlign w:val="top"/>
          </w:tcPr>
          <w:p w14:paraId="33A7429F">
            <w:pPr>
              <w:pStyle w:val="8"/>
              <w:spacing w:before="135" w:line="184" w:lineRule="auto"/>
              <w:ind w:left="194"/>
            </w:pPr>
            <w:r>
              <w:t>5</w:t>
            </w:r>
          </w:p>
        </w:tc>
        <w:tc>
          <w:tcPr>
            <w:tcW w:w="573" w:type="dxa"/>
            <w:gridSpan w:val="2"/>
            <w:tcBorders>
              <w:right w:val="single" w:color="000000" w:sz="4" w:space="0"/>
            </w:tcBorders>
            <w:vAlign w:val="top"/>
          </w:tcPr>
          <w:p w14:paraId="7D434319">
            <w:pPr>
              <w:pStyle w:val="8"/>
              <w:spacing w:before="132" w:line="187" w:lineRule="auto"/>
              <w:ind w:left="232"/>
            </w:pPr>
            <w:r>
              <w:t>6</w:t>
            </w:r>
          </w:p>
        </w:tc>
      </w:tr>
      <w:tr w14:paraId="7C5D6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997" w:type="dxa"/>
            <w:vAlign w:val="top"/>
          </w:tcPr>
          <w:p w14:paraId="6163181D">
            <w:pPr>
              <w:pStyle w:val="8"/>
              <w:spacing w:before="99" w:line="223" w:lineRule="auto"/>
              <w:ind w:left="118"/>
            </w:pPr>
            <w:r>
              <w:rPr>
                <w:spacing w:val="9"/>
              </w:rPr>
              <w:t>操作适应证、相关解剖和操作技术的理解</w:t>
            </w:r>
          </w:p>
        </w:tc>
        <w:tc>
          <w:tcPr>
            <w:tcW w:w="1059" w:type="dxa"/>
            <w:vAlign w:val="top"/>
          </w:tcPr>
          <w:p w14:paraId="39B3726B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1AA51CC0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shd w:val="clear" w:color="auto" w:fill="D9D9D9"/>
            <w:vAlign w:val="top"/>
          </w:tcPr>
          <w:p w14:paraId="4545D24B"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vAlign w:val="top"/>
          </w:tcPr>
          <w:p w14:paraId="6C2727D6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144CF359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left w:val="single" w:color="000000" w:sz="4" w:space="0"/>
            </w:tcBorders>
            <w:vAlign w:val="top"/>
          </w:tcPr>
          <w:p w14:paraId="73C17801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gridSpan w:val="2"/>
            <w:tcBorders>
              <w:right w:val="single" w:color="000000" w:sz="4" w:space="0"/>
            </w:tcBorders>
            <w:vAlign w:val="top"/>
          </w:tcPr>
          <w:p w14:paraId="1EB9C5F5">
            <w:pPr>
              <w:rPr>
                <w:rFonts w:ascii="Arial"/>
                <w:sz w:val="21"/>
              </w:rPr>
            </w:pPr>
          </w:p>
        </w:tc>
      </w:tr>
      <w:tr w14:paraId="3C89E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997" w:type="dxa"/>
            <w:vAlign w:val="top"/>
          </w:tcPr>
          <w:p w14:paraId="571F52AA">
            <w:pPr>
              <w:pStyle w:val="8"/>
              <w:spacing w:before="104" w:line="225" w:lineRule="auto"/>
              <w:ind w:left="118"/>
            </w:pPr>
            <w:r>
              <w:rPr>
                <w:spacing w:val="6"/>
              </w:rPr>
              <w:t>知情同意</w:t>
            </w:r>
          </w:p>
        </w:tc>
        <w:tc>
          <w:tcPr>
            <w:tcW w:w="1059" w:type="dxa"/>
            <w:vAlign w:val="top"/>
          </w:tcPr>
          <w:p w14:paraId="565A405E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466BCEF6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shd w:val="clear" w:color="auto" w:fill="D9D9D9"/>
            <w:vAlign w:val="top"/>
          </w:tcPr>
          <w:p w14:paraId="1F3691EE"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vAlign w:val="top"/>
          </w:tcPr>
          <w:p w14:paraId="1F205B22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6363C60F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left w:val="single" w:color="000000" w:sz="4" w:space="0"/>
            </w:tcBorders>
            <w:vAlign w:val="top"/>
          </w:tcPr>
          <w:p w14:paraId="5D21AA8D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gridSpan w:val="2"/>
            <w:tcBorders>
              <w:right w:val="single" w:color="000000" w:sz="4" w:space="0"/>
            </w:tcBorders>
            <w:vAlign w:val="top"/>
          </w:tcPr>
          <w:p w14:paraId="2C8932DB">
            <w:pPr>
              <w:rPr>
                <w:rFonts w:ascii="Arial"/>
                <w:sz w:val="21"/>
              </w:rPr>
            </w:pPr>
          </w:p>
        </w:tc>
      </w:tr>
      <w:tr w14:paraId="36E62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997" w:type="dxa"/>
            <w:vAlign w:val="top"/>
          </w:tcPr>
          <w:p w14:paraId="2D86797E">
            <w:pPr>
              <w:pStyle w:val="8"/>
              <w:spacing w:before="105" w:line="223" w:lineRule="auto"/>
              <w:ind w:left="118"/>
            </w:pPr>
            <w:r>
              <w:rPr>
                <w:spacing w:val="7"/>
              </w:rPr>
              <w:t>操作前准备</w:t>
            </w:r>
          </w:p>
        </w:tc>
        <w:tc>
          <w:tcPr>
            <w:tcW w:w="1059" w:type="dxa"/>
            <w:vAlign w:val="top"/>
          </w:tcPr>
          <w:p w14:paraId="4511737E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1007B0BC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shd w:val="clear" w:color="auto" w:fill="D9D9D9"/>
            <w:vAlign w:val="top"/>
          </w:tcPr>
          <w:p w14:paraId="4A3DB8CE"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vAlign w:val="top"/>
          </w:tcPr>
          <w:p w14:paraId="41D6E282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40E4FF1F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left w:val="single" w:color="000000" w:sz="4" w:space="0"/>
            </w:tcBorders>
            <w:vAlign w:val="top"/>
          </w:tcPr>
          <w:p w14:paraId="65153CAE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gridSpan w:val="2"/>
            <w:tcBorders>
              <w:right w:val="single" w:color="000000" w:sz="4" w:space="0"/>
            </w:tcBorders>
            <w:vAlign w:val="top"/>
          </w:tcPr>
          <w:p w14:paraId="4F757D58">
            <w:pPr>
              <w:rPr>
                <w:rFonts w:ascii="Arial"/>
                <w:sz w:val="21"/>
              </w:rPr>
            </w:pPr>
          </w:p>
        </w:tc>
      </w:tr>
      <w:tr w14:paraId="2834E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997" w:type="dxa"/>
            <w:vAlign w:val="top"/>
          </w:tcPr>
          <w:p w14:paraId="43B5FD6F">
            <w:pPr>
              <w:pStyle w:val="8"/>
              <w:spacing w:before="108" w:line="226" w:lineRule="auto"/>
              <w:ind w:left="118"/>
            </w:pPr>
            <w:r>
              <w:rPr>
                <w:spacing w:val="6"/>
              </w:rPr>
              <w:t>止痛镇静</w:t>
            </w:r>
          </w:p>
        </w:tc>
        <w:tc>
          <w:tcPr>
            <w:tcW w:w="1059" w:type="dxa"/>
            <w:vAlign w:val="top"/>
          </w:tcPr>
          <w:p w14:paraId="521B9249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0F3D157E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shd w:val="clear" w:color="auto" w:fill="D9D9D9"/>
            <w:vAlign w:val="top"/>
          </w:tcPr>
          <w:p w14:paraId="1D0B9550"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vAlign w:val="top"/>
          </w:tcPr>
          <w:p w14:paraId="6D3A6101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79F850F4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left w:val="single" w:color="000000" w:sz="4" w:space="0"/>
            </w:tcBorders>
            <w:vAlign w:val="top"/>
          </w:tcPr>
          <w:p w14:paraId="515A9255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gridSpan w:val="2"/>
            <w:tcBorders>
              <w:right w:val="single" w:color="000000" w:sz="4" w:space="0"/>
            </w:tcBorders>
            <w:vAlign w:val="top"/>
          </w:tcPr>
          <w:p w14:paraId="604A0B59">
            <w:pPr>
              <w:rPr>
                <w:rFonts w:ascii="Arial"/>
                <w:sz w:val="21"/>
              </w:rPr>
            </w:pPr>
          </w:p>
        </w:tc>
      </w:tr>
      <w:tr w14:paraId="309FB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997" w:type="dxa"/>
            <w:vAlign w:val="top"/>
          </w:tcPr>
          <w:p w14:paraId="49FE5050">
            <w:pPr>
              <w:pStyle w:val="8"/>
              <w:spacing w:before="106" w:line="225" w:lineRule="auto"/>
              <w:ind w:left="118"/>
            </w:pPr>
            <w:r>
              <w:rPr>
                <w:spacing w:val="6"/>
              </w:rPr>
              <w:t>技术能力</w:t>
            </w:r>
          </w:p>
        </w:tc>
        <w:tc>
          <w:tcPr>
            <w:tcW w:w="1059" w:type="dxa"/>
            <w:vAlign w:val="top"/>
          </w:tcPr>
          <w:p w14:paraId="23FF26C7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19A7CCAC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shd w:val="clear" w:color="auto" w:fill="D9D9D9"/>
            <w:vAlign w:val="top"/>
          </w:tcPr>
          <w:p w14:paraId="4C09ABC2"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vAlign w:val="top"/>
          </w:tcPr>
          <w:p w14:paraId="67DD2E00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54E2BD44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left w:val="single" w:color="000000" w:sz="4" w:space="0"/>
            </w:tcBorders>
            <w:vAlign w:val="top"/>
          </w:tcPr>
          <w:p w14:paraId="4197D343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gridSpan w:val="2"/>
            <w:tcBorders>
              <w:right w:val="single" w:color="000000" w:sz="4" w:space="0"/>
            </w:tcBorders>
            <w:vAlign w:val="top"/>
          </w:tcPr>
          <w:p w14:paraId="299AA351">
            <w:pPr>
              <w:rPr>
                <w:rFonts w:ascii="Arial"/>
                <w:sz w:val="21"/>
              </w:rPr>
            </w:pPr>
          </w:p>
        </w:tc>
      </w:tr>
      <w:tr w14:paraId="1C9A0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997" w:type="dxa"/>
            <w:vAlign w:val="top"/>
          </w:tcPr>
          <w:p w14:paraId="5A92B53B">
            <w:pPr>
              <w:pStyle w:val="8"/>
              <w:spacing w:before="108" w:line="225" w:lineRule="auto"/>
              <w:ind w:left="122"/>
            </w:pPr>
            <w:r>
              <w:rPr>
                <w:spacing w:val="5"/>
              </w:rPr>
              <w:t>无菌技术</w:t>
            </w:r>
          </w:p>
        </w:tc>
        <w:tc>
          <w:tcPr>
            <w:tcW w:w="1059" w:type="dxa"/>
            <w:vAlign w:val="top"/>
          </w:tcPr>
          <w:p w14:paraId="4D17A986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29012BA4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shd w:val="clear" w:color="auto" w:fill="D9D9D9"/>
            <w:vAlign w:val="top"/>
          </w:tcPr>
          <w:p w14:paraId="2E2F068F"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vAlign w:val="top"/>
          </w:tcPr>
          <w:p w14:paraId="2D238BC5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7C6E98F8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left w:val="single" w:color="000000" w:sz="4" w:space="0"/>
            </w:tcBorders>
            <w:vAlign w:val="top"/>
          </w:tcPr>
          <w:p w14:paraId="086F2B56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gridSpan w:val="2"/>
            <w:tcBorders>
              <w:right w:val="single" w:color="000000" w:sz="4" w:space="0"/>
            </w:tcBorders>
            <w:vAlign w:val="top"/>
          </w:tcPr>
          <w:p w14:paraId="4FA61EA1">
            <w:pPr>
              <w:rPr>
                <w:rFonts w:ascii="Arial"/>
                <w:sz w:val="21"/>
              </w:rPr>
            </w:pPr>
          </w:p>
        </w:tc>
      </w:tr>
      <w:tr w14:paraId="55B77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997" w:type="dxa"/>
            <w:vAlign w:val="top"/>
          </w:tcPr>
          <w:p w14:paraId="6D3D28C0">
            <w:pPr>
              <w:pStyle w:val="8"/>
              <w:spacing w:before="107" w:line="224" w:lineRule="auto"/>
              <w:ind w:left="113"/>
            </w:pPr>
            <w:r>
              <w:rPr>
                <w:spacing w:val="9"/>
              </w:rPr>
              <w:t>根据需要寻求帮助</w:t>
            </w:r>
          </w:p>
        </w:tc>
        <w:tc>
          <w:tcPr>
            <w:tcW w:w="1059" w:type="dxa"/>
            <w:vAlign w:val="top"/>
          </w:tcPr>
          <w:p w14:paraId="31178A22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612B6365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shd w:val="clear" w:color="auto" w:fill="D9D9D9"/>
            <w:vAlign w:val="top"/>
          </w:tcPr>
          <w:p w14:paraId="4E8CE2EB"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vAlign w:val="top"/>
          </w:tcPr>
          <w:p w14:paraId="15FE02A4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615FF500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left w:val="single" w:color="000000" w:sz="4" w:space="0"/>
            </w:tcBorders>
            <w:vAlign w:val="top"/>
          </w:tcPr>
          <w:p w14:paraId="0F62CDB1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gridSpan w:val="2"/>
            <w:tcBorders>
              <w:right w:val="single" w:color="000000" w:sz="4" w:space="0"/>
            </w:tcBorders>
            <w:vAlign w:val="top"/>
          </w:tcPr>
          <w:p w14:paraId="246C127A">
            <w:pPr>
              <w:rPr>
                <w:rFonts w:ascii="Arial"/>
                <w:sz w:val="21"/>
              </w:rPr>
            </w:pPr>
          </w:p>
        </w:tc>
      </w:tr>
      <w:tr w14:paraId="17328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997" w:type="dxa"/>
            <w:vAlign w:val="top"/>
          </w:tcPr>
          <w:p w14:paraId="78A2FCBE">
            <w:pPr>
              <w:pStyle w:val="8"/>
              <w:spacing w:before="108" w:line="223" w:lineRule="auto"/>
              <w:ind w:left="118"/>
            </w:pPr>
            <w:r>
              <w:rPr>
                <w:spacing w:val="7"/>
              </w:rPr>
              <w:t>操作后处理</w:t>
            </w:r>
          </w:p>
        </w:tc>
        <w:tc>
          <w:tcPr>
            <w:tcW w:w="1059" w:type="dxa"/>
            <w:vAlign w:val="top"/>
          </w:tcPr>
          <w:p w14:paraId="380AA4DE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13553434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shd w:val="clear" w:color="auto" w:fill="D9D9D9"/>
            <w:vAlign w:val="top"/>
          </w:tcPr>
          <w:p w14:paraId="431D2836"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vAlign w:val="top"/>
          </w:tcPr>
          <w:p w14:paraId="5ED2CEC1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4C549685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left w:val="single" w:color="000000" w:sz="4" w:space="0"/>
            </w:tcBorders>
            <w:vAlign w:val="top"/>
          </w:tcPr>
          <w:p w14:paraId="255AFB29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gridSpan w:val="2"/>
            <w:tcBorders>
              <w:right w:val="single" w:color="000000" w:sz="4" w:space="0"/>
            </w:tcBorders>
            <w:vAlign w:val="top"/>
          </w:tcPr>
          <w:p w14:paraId="1752A2E8">
            <w:pPr>
              <w:rPr>
                <w:rFonts w:ascii="Arial"/>
                <w:sz w:val="21"/>
              </w:rPr>
            </w:pPr>
          </w:p>
        </w:tc>
      </w:tr>
      <w:tr w14:paraId="50BC9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997" w:type="dxa"/>
            <w:vAlign w:val="top"/>
          </w:tcPr>
          <w:p w14:paraId="23503C98">
            <w:pPr>
              <w:pStyle w:val="8"/>
              <w:spacing w:before="109" w:line="225" w:lineRule="auto"/>
              <w:ind w:left="129"/>
            </w:pPr>
            <w:r>
              <w:rPr>
                <w:spacing w:val="4"/>
              </w:rPr>
              <w:t>沟通技能</w:t>
            </w:r>
          </w:p>
        </w:tc>
        <w:tc>
          <w:tcPr>
            <w:tcW w:w="1059" w:type="dxa"/>
            <w:vAlign w:val="top"/>
          </w:tcPr>
          <w:p w14:paraId="45891CF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70C5E657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shd w:val="clear" w:color="auto" w:fill="D9D9D9"/>
            <w:vAlign w:val="top"/>
          </w:tcPr>
          <w:p w14:paraId="297AEC29"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vAlign w:val="top"/>
          </w:tcPr>
          <w:p w14:paraId="1B5304EC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70E9A863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left w:val="single" w:color="000000" w:sz="4" w:space="0"/>
            </w:tcBorders>
            <w:vAlign w:val="top"/>
          </w:tcPr>
          <w:p w14:paraId="2DA28948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gridSpan w:val="2"/>
            <w:tcBorders>
              <w:right w:val="single" w:color="000000" w:sz="4" w:space="0"/>
            </w:tcBorders>
            <w:vAlign w:val="top"/>
          </w:tcPr>
          <w:p w14:paraId="4A105A77">
            <w:pPr>
              <w:rPr>
                <w:rFonts w:ascii="Arial"/>
                <w:sz w:val="21"/>
              </w:rPr>
            </w:pPr>
          </w:p>
        </w:tc>
      </w:tr>
      <w:tr w14:paraId="206CA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997" w:type="dxa"/>
            <w:vAlign w:val="top"/>
          </w:tcPr>
          <w:p w14:paraId="3F108DE1">
            <w:pPr>
              <w:pStyle w:val="8"/>
              <w:spacing w:before="111" w:line="223" w:lineRule="auto"/>
              <w:ind w:left="118"/>
            </w:pPr>
            <w:r>
              <w:rPr>
                <w:spacing w:val="8"/>
              </w:rPr>
              <w:t>人文关怀/职业素养</w:t>
            </w:r>
          </w:p>
        </w:tc>
        <w:tc>
          <w:tcPr>
            <w:tcW w:w="1059" w:type="dxa"/>
            <w:vAlign w:val="top"/>
          </w:tcPr>
          <w:p w14:paraId="24D57B16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5474DA92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shd w:val="clear" w:color="auto" w:fill="D9D9D9"/>
            <w:vAlign w:val="top"/>
          </w:tcPr>
          <w:p w14:paraId="03D95C45"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vAlign w:val="top"/>
          </w:tcPr>
          <w:p w14:paraId="467CF8F0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5735C5F1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left w:val="single" w:color="000000" w:sz="4" w:space="0"/>
            </w:tcBorders>
            <w:vAlign w:val="top"/>
          </w:tcPr>
          <w:p w14:paraId="778D320B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gridSpan w:val="2"/>
            <w:tcBorders>
              <w:right w:val="single" w:color="000000" w:sz="4" w:space="0"/>
            </w:tcBorders>
            <w:vAlign w:val="top"/>
          </w:tcPr>
          <w:p w14:paraId="738E601E">
            <w:pPr>
              <w:rPr>
                <w:rFonts w:ascii="Arial"/>
                <w:sz w:val="21"/>
              </w:rPr>
            </w:pPr>
          </w:p>
        </w:tc>
      </w:tr>
      <w:tr w14:paraId="438CD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997" w:type="dxa"/>
            <w:vAlign w:val="top"/>
          </w:tcPr>
          <w:p w14:paraId="1FF596F0">
            <w:pPr>
              <w:pStyle w:val="8"/>
              <w:spacing w:before="113" w:line="225" w:lineRule="auto"/>
              <w:ind w:left="119"/>
            </w:pPr>
            <w:r>
              <w:rPr>
                <w:spacing w:val="6"/>
              </w:rPr>
              <w:t>整体表现</w:t>
            </w:r>
          </w:p>
        </w:tc>
        <w:tc>
          <w:tcPr>
            <w:tcW w:w="1059" w:type="dxa"/>
            <w:vAlign w:val="top"/>
          </w:tcPr>
          <w:p w14:paraId="1F3B8D9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shd w:val="clear" w:color="auto" w:fill="D9D9D9"/>
            <w:vAlign w:val="top"/>
          </w:tcPr>
          <w:p w14:paraId="6CD90C43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shd w:val="clear" w:color="auto" w:fill="D9D9D9"/>
            <w:vAlign w:val="top"/>
          </w:tcPr>
          <w:p w14:paraId="36697F22">
            <w:pPr>
              <w:rPr>
                <w:rFonts w:ascii="Arial"/>
                <w:sz w:val="21"/>
              </w:rPr>
            </w:pPr>
          </w:p>
        </w:tc>
        <w:tc>
          <w:tcPr>
            <w:tcW w:w="347" w:type="dxa"/>
            <w:vAlign w:val="top"/>
          </w:tcPr>
          <w:p w14:paraId="3A872148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right w:val="single" w:color="000000" w:sz="4" w:space="0"/>
            </w:tcBorders>
            <w:vAlign w:val="top"/>
          </w:tcPr>
          <w:p w14:paraId="19E9E98D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tcBorders>
              <w:left w:val="single" w:color="000000" w:sz="4" w:space="0"/>
              <w:bottom w:val="single" w:color="000000" w:sz="22" w:space="0"/>
            </w:tcBorders>
            <w:vAlign w:val="top"/>
          </w:tcPr>
          <w:p w14:paraId="4C61CBFA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gridSpan w:val="2"/>
            <w:tcBorders>
              <w:bottom w:val="single" w:color="000000" w:sz="22" w:space="0"/>
              <w:right w:val="single" w:color="000000" w:sz="4" w:space="0"/>
            </w:tcBorders>
            <w:vAlign w:val="top"/>
          </w:tcPr>
          <w:p w14:paraId="6A1ED22C">
            <w:pPr>
              <w:rPr>
                <w:rFonts w:ascii="Arial"/>
                <w:sz w:val="21"/>
              </w:rPr>
            </w:pPr>
          </w:p>
        </w:tc>
      </w:tr>
      <w:tr w14:paraId="7FB94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3997" w:type="dxa"/>
            <w:tcBorders>
              <w:left w:val="nil"/>
              <w:bottom w:val="nil"/>
              <w:right w:val="nil"/>
            </w:tcBorders>
            <w:vAlign w:val="top"/>
          </w:tcPr>
          <w:p w14:paraId="0B7BC624">
            <w:pPr>
              <w:spacing w:line="115" w:lineRule="auto"/>
              <w:rPr>
                <w:rFonts w:ascii="Arial"/>
                <w:sz w:val="2"/>
              </w:rPr>
            </w:pPr>
          </w:p>
        </w:tc>
        <w:tc>
          <w:tcPr>
            <w:tcW w:w="1059" w:type="dxa"/>
            <w:tcBorders>
              <w:left w:val="nil"/>
              <w:bottom w:val="nil"/>
              <w:right w:val="nil"/>
            </w:tcBorders>
            <w:vAlign w:val="top"/>
          </w:tcPr>
          <w:p w14:paraId="3876E00E">
            <w:pPr>
              <w:spacing w:line="115" w:lineRule="auto"/>
              <w:rPr>
                <w:rFonts w:ascii="Arial"/>
                <w:sz w:val="2"/>
              </w:rPr>
            </w:pPr>
          </w:p>
        </w:tc>
        <w:tc>
          <w:tcPr>
            <w:tcW w:w="635" w:type="dxa"/>
            <w:tcBorders>
              <w:left w:val="nil"/>
              <w:bottom w:val="nil"/>
              <w:right w:val="nil"/>
            </w:tcBorders>
            <w:vAlign w:val="top"/>
          </w:tcPr>
          <w:p w14:paraId="2E242AF9">
            <w:pPr>
              <w:spacing w:line="115" w:lineRule="auto"/>
              <w:rPr>
                <w:rFonts w:ascii="Arial"/>
                <w:sz w:val="2"/>
              </w:rPr>
            </w:pPr>
          </w:p>
        </w:tc>
        <w:tc>
          <w:tcPr>
            <w:tcW w:w="634" w:type="dxa"/>
            <w:tcBorders>
              <w:left w:val="nil"/>
              <w:bottom w:val="nil"/>
              <w:right w:val="nil"/>
            </w:tcBorders>
            <w:vAlign w:val="top"/>
          </w:tcPr>
          <w:p w14:paraId="1EDDE9F7">
            <w:pPr>
              <w:spacing w:line="115" w:lineRule="auto"/>
              <w:rPr>
                <w:rFonts w:ascii="Arial"/>
                <w:sz w:val="2"/>
              </w:rPr>
            </w:pP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  <w:vAlign w:val="top"/>
          </w:tcPr>
          <w:p w14:paraId="1F5BFDB2">
            <w:pPr>
              <w:spacing w:line="115" w:lineRule="auto"/>
              <w:rPr>
                <w:rFonts w:ascii="Arial"/>
                <w:sz w:val="2"/>
              </w:rPr>
            </w:pPr>
          </w:p>
        </w:tc>
        <w:tc>
          <w:tcPr>
            <w:tcW w:w="748" w:type="dxa"/>
            <w:tcBorders>
              <w:left w:val="nil"/>
              <w:bottom w:val="nil"/>
              <w:right w:val="single" w:color="000000" w:sz="4" w:space="0"/>
            </w:tcBorders>
            <w:vAlign w:val="top"/>
          </w:tcPr>
          <w:p w14:paraId="7627B540">
            <w:pPr>
              <w:spacing w:line="115" w:lineRule="auto"/>
              <w:rPr>
                <w:rFonts w:ascii="Arial"/>
                <w:sz w:val="2"/>
              </w:rPr>
            </w:pPr>
          </w:p>
        </w:tc>
        <w:tc>
          <w:tcPr>
            <w:tcW w:w="494" w:type="dxa"/>
            <w:tcBorders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5195F227">
            <w:pPr>
              <w:spacing w:line="115" w:lineRule="auto"/>
              <w:rPr>
                <w:rFonts w:ascii="Arial"/>
                <w:sz w:val="2"/>
              </w:rPr>
            </w:pPr>
          </w:p>
        </w:tc>
        <w:tc>
          <w:tcPr>
            <w:tcW w:w="573" w:type="dxa"/>
            <w:gridSpan w:val="2"/>
            <w:tcBorders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2478814">
            <w:pPr>
              <w:spacing w:line="115" w:lineRule="auto"/>
              <w:rPr>
                <w:rFonts w:ascii="Arial"/>
                <w:sz w:val="2"/>
              </w:rPr>
            </w:pPr>
          </w:p>
        </w:tc>
      </w:tr>
    </w:tbl>
    <w:p w14:paraId="730E15C9">
      <w:pPr>
        <w:spacing w:line="193" w:lineRule="exact"/>
      </w:pPr>
    </w:p>
    <w:tbl>
      <w:tblPr>
        <w:tblStyle w:val="7"/>
        <w:tblW w:w="7863" w:type="dxa"/>
        <w:tblInd w:w="63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3"/>
        <w:gridCol w:w="1045"/>
        <w:gridCol w:w="2092"/>
        <w:gridCol w:w="524"/>
        <w:gridCol w:w="719"/>
      </w:tblGrid>
      <w:tr w14:paraId="4987B9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483" w:type="dxa"/>
            <w:vAlign w:val="top"/>
          </w:tcPr>
          <w:p w14:paraId="2F8F6398">
            <w:pPr>
              <w:pStyle w:val="8"/>
              <w:spacing w:line="225" w:lineRule="auto"/>
              <w:jc w:val="right"/>
            </w:pPr>
            <w:r>
              <w:rPr>
                <w:spacing w:val="1"/>
              </w:rPr>
              <w:t>直接观察时间：</w:t>
            </w:r>
            <w:r>
              <w:rPr>
                <w:spacing w:val="5"/>
                <w:u w:val="single" w:color="auto"/>
              </w:rPr>
              <w:t xml:space="preserve">             </w:t>
            </w:r>
            <w:r>
              <w:rPr>
                <w:spacing w:val="1"/>
              </w:rPr>
              <w:t xml:space="preserve"> 分钟；</w:t>
            </w:r>
          </w:p>
        </w:tc>
        <w:tc>
          <w:tcPr>
            <w:tcW w:w="1045" w:type="dxa"/>
            <w:vAlign w:val="top"/>
          </w:tcPr>
          <w:p w14:paraId="55E19D31">
            <w:pPr>
              <w:pStyle w:val="8"/>
              <w:spacing w:line="226" w:lineRule="auto"/>
              <w:jc w:val="right"/>
            </w:pPr>
            <w:r>
              <w:rPr>
                <w:spacing w:val="-8"/>
              </w:rPr>
              <w:t>反馈时间：</w:t>
            </w:r>
          </w:p>
        </w:tc>
        <w:tc>
          <w:tcPr>
            <w:tcW w:w="2092" w:type="dxa"/>
            <w:vAlign w:val="top"/>
          </w:tcPr>
          <w:p w14:paraId="41B222F7">
            <w:pPr>
              <w:pStyle w:val="8"/>
              <w:tabs>
                <w:tab w:val="left" w:pos="1446"/>
              </w:tabs>
              <w:spacing w:line="226" w:lineRule="auto"/>
              <w:ind w:left="81"/>
            </w:pPr>
            <w:r>
              <w:rPr>
                <w:u w:val="single" w:color="auto"/>
              </w:rPr>
              <w:tab/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分钟</w:t>
            </w:r>
          </w:p>
        </w:tc>
        <w:tc>
          <w:tcPr>
            <w:tcW w:w="524" w:type="dxa"/>
            <w:vAlign w:val="top"/>
          </w:tcPr>
          <w:p w14:paraId="246A180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98FBF42">
            <w:pPr>
              <w:rPr>
                <w:rFonts w:ascii="Arial"/>
                <w:sz w:val="21"/>
              </w:rPr>
            </w:pPr>
          </w:p>
        </w:tc>
      </w:tr>
      <w:tr w14:paraId="3AFCBE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83" w:type="dxa"/>
            <w:vAlign w:val="top"/>
          </w:tcPr>
          <w:p w14:paraId="2ED39DFD">
            <w:pPr>
              <w:pStyle w:val="8"/>
              <w:spacing w:before="127" w:line="223" w:lineRule="auto"/>
            </w:pPr>
            <w:r>
              <w:rPr>
                <w:spacing w:val="6"/>
              </w:rPr>
              <w:t>指导医师对评估的满意程度：低</w:t>
            </w:r>
            <w:r>
              <w:rPr>
                <w:spacing w:val="46"/>
              </w:rPr>
              <w:t xml:space="preserve"> </w:t>
            </w:r>
            <w:r>
              <w:rPr>
                <w:spacing w:val="6"/>
              </w:rPr>
              <w:t>□</w:t>
            </w:r>
            <w:r>
              <w:rPr>
                <w:spacing w:val="-78"/>
              </w:rPr>
              <w:t xml:space="preserve"> </w:t>
            </w:r>
            <w:r>
              <w:rPr>
                <w:spacing w:val="6"/>
              </w:rPr>
              <w:t>1</w:t>
            </w:r>
          </w:p>
        </w:tc>
        <w:tc>
          <w:tcPr>
            <w:tcW w:w="1045" w:type="dxa"/>
            <w:vAlign w:val="top"/>
          </w:tcPr>
          <w:p w14:paraId="6A0355B8">
            <w:pPr>
              <w:pStyle w:val="8"/>
              <w:spacing w:before="126" w:line="265" w:lineRule="exact"/>
              <w:ind w:left="107"/>
            </w:pPr>
            <w:r>
              <w:rPr>
                <w:spacing w:val="-11"/>
                <w:position w:val="1"/>
              </w:rPr>
              <w:t>□2</w:t>
            </w:r>
            <w:r>
              <w:rPr>
                <w:spacing w:val="22"/>
                <w:position w:val="1"/>
              </w:rPr>
              <w:t xml:space="preserve">  </w:t>
            </w:r>
            <w:r>
              <w:rPr>
                <w:spacing w:val="-11"/>
                <w:position w:val="1"/>
              </w:rPr>
              <w:t>□</w:t>
            </w:r>
            <w:r>
              <w:rPr>
                <w:spacing w:val="-73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3</w:t>
            </w:r>
          </w:p>
        </w:tc>
        <w:tc>
          <w:tcPr>
            <w:tcW w:w="2092" w:type="dxa"/>
            <w:vAlign w:val="top"/>
          </w:tcPr>
          <w:p w14:paraId="77CCDC55">
            <w:pPr>
              <w:pStyle w:val="8"/>
              <w:spacing w:before="126" w:line="265" w:lineRule="exact"/>
              <w:ind w:left="113"/>
            </w:pPr>
            <w:r>
              <w:rPr>
                <w:spacing w:val="-8"/>
                <w:position w:val="1"/>
              </w:rPr>
              <w:t>□4</w:t>
            </w:r>
            <w:r>
              <w:rPr>
                <w:spacing w:val="24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□5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□6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□7</w:t>
            </w:r>
          </w:p>
        </w:tc>
        <w:tc>
          <w:tcPr>
            <w:tcW w:w="524" w:type="dxa"/>
            <w:vAlign w:val="top"/>
          </w:tcPr>
          <w:p w14:paraId="271F057B">
            <w:pPr>
              <w:pStyle w:val="8"/>
              <w:spacing w:before="126" w:line="265" w:lineRule="exact"/>
              <w:ind w:left="121"/>
            </w:pPr>
            <w:r>
              <w:rPr>
                <w:spacing w:val="-10"/>
                <w:position w:val="1"/>
              </w:rPr>
              <w:t>□8</w:t>
            </w:r>
          </w:p>
        </w:tc>
        <w:tc>
          <w:tcPr>
            <w:tcW w:w="719" w:type="dxa"/>
            <w:vAlign w:val="top"/>
          </w:tcPr>
          <w:p w14:paraId="5102C81D">
            <w:pPr>
              <w:pStyle w:val="8"/>
              <w:spacing w:before="126" w:line="228" w:lineRule="auto"/>
              <w:jc w:val="right"/>
            </w:pPr>
            <w:r>
              <w:rPr>
                <w:spacing w:val="-10"/>
              </w:rPr>
              <w:t>□9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高</w:t>
            </w:r>
          </w:p>
        </w:tc>
      </w:tr>
      <w:tr w14:paraId="76F6F1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483" w:type="dxa"/>
            <w:vAlign w:val="top"/>
          </w:tcPr>
          <w:p w14:paraId="21792668">
            <w:pPr>
              <w:pStyle w:val="8"/>
              <w:spacing w:before="126" w:line="223" w:lineRule="auto"/>
              <w:ind w:left="1"/>
            </w:pPr>
            <w:r>
              <w:rPr>
                <w:spacing w:val="6"/>
              </w:rPr>
              <w:t>住院医师对评估的满意程度：低</w:t>
            </w:r>
            <w:r>
              <w:rPr>
                <w:spacing w:val="45"/>
              </w:rPr>
              <w:t xml:space="preserve"> </w:t>
            </w:r>
            <w:r>
              <w:rPr>
                <w:spacing w:val="6"/>
              </w:rPr>
              <w:t>□</w:t>
            </w:r>
            <w:r>
              <w:rPr>
                <w:spacing w:val="-79"/>
              </w:rPr>
              <w:t xml:space="preserve"> </w:t>
            </w:r>
            <w:r>
              <w:rPr>
                <w:spacing w:val="6"/>
              </w:rPr>
              <w:t>1</w:t>
            </w:r>
          </w:p>
        </w:tc>
        <w:tc>
          <w:tcPr>
            <w:tcW w:w="1045" w:type="dxa"/>
            <w:vAlign w:val="top"/>
          </w:tcPr>
          <w:p w14:paraId="096881C4">
            <w:pPr>
              <w:pStyle w:val="8"/>
              <w:spacing w:before="126" w:line="264" w:lineRule="exact"/>
              <w:ind w:left="107"/>
            </w:pPr>
            <w:r>
              <w:rPr>
                <w:spacing w:val="-11"/>
                <w:position w:val="1"/>
              </w:rPr>
              <w:t>□2</w:t>
            </w:r>
            <w:r>
              <w:rPr>
                <w:spacing w:val="22"/>
                <w:position w:val="1"/>
              </w:rPr>
              <w:t xml:space="preserve">  </w:t>
            </w:r>
            <w:r>
              <w:rPr>
                <w:spacing w:val="-11"/>
                <w:position w:val="1"/>
              </w:rPr>
              <w:t>□</w:t>
            </w:r>
            <w:r>
              <w:rPr>
                <w:spacing w:val="-73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3</w:t>
            </w:r>
          </w:p>
        </w:tc>
        <w:tc>
          <w:tcPr>
            <w:tcW w:w="2092" w:type="dxa"/>
            <w:vAlign w:val="top"/>
          </w:tcPr>
          <w:p w14:paraId="31F9D464">
            <w:pPr>
              <w:pStyle w:val="8"/>
              <w:spacing w:before="126" w:line="264" w:lineRule="exact"/>
              <w:ind w:left="113"/>
            </w:pPr>
            <w:r>
              <w:rPr>
                <w:spacing w:val="-8"/>
                <w:position w:val="1"/>
              </w:rPr>
              <w:t>□4</w:t>
            </w:r>
            <w:r>
              <w:rPr>
                <w:spacing w:val="24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□5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□6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□7</w:t>
            </w:r>
          </w:p>
        </w:tc>
        <w:tc>
          <w:tcPr>
            <w:tcW w:w="524" w:type="dxa"/>
            <w:vAlign w:val="top"/>
          </w:tcPr>
          <w:p w14:paraId="6AD624C0">
            <w:pPr>
              <w:pStyle w:val="8"/>
              <w:spacing w:before="126" w:line="264" w:lineRule="exact"/>
              <w:ind w:left="121"/>
            </w:pPr>
            <w:r>
              <w:rPr>
                <w:spacing w:val="-10"/>
                <w:position w:val="1"/>
              </w:rPr>
              <w:t>□8</w:t>
            </w:r>
          </w:p>
        </w:tc>
        <w:tc>
          <w:tcPr>
            <w:tcW w:w="719" w:type="dxa"/>
            <w:vAlign w:val="top"/>
          </w:tcPr>
          <w:p w14:paraId="465BF08F">
            <w:pPr>
              <w:pStyle w:val="8"/>
              <w:spacing w:before="125" w:line="228" w:lineRule="auto"/>
              <w:jc w:val="right"/>
            </w:pPr>
            <w:r>
              <w:rPr>
                <w:spacing w:val="-10"/>
              </w:rPr>
              <w:t>□9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高</w:t>
            </w:r>
          </w:p>
        </w:tc>
      </w:tr>
      <w:tr w14:paraId="41F74F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483" w:type="dxa"/>
            <w:vAlign w:val="top"/>
          </w:tcPr>
          <w:p w14:paraId="436FDDF6">
            <w:pPr>
              <w:pStyle w:val="8"/>
              <w:spacing w:before="126" w:line="182" w:lineRule="auto"/>
            </w:pPr>
            <w:r>
              <w:rPr>
                <w:spacing w:val="7"/>
              </w:rPr>
              <w:t>指导医师的评语：</w:t>
            </w:r>
          </w:p>
        </w:tc>
        <w:tc>
          <w:tcPr>
            <w:tcW w:w="1045" w:type="dxa"/>
            <w:vAlign w:val="top"/>
          </w:tcPr>
          <w:p w14:paraId="13EEFC4F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07788C36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Align w:val="top"/>
          </w:tcPr>
          <w:p w14:paraId="7137A67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EEDF0BC">
            <w:pPr>
              <w:rPr>
                <w:rFonts w:ascii="Arial"/>
                <w:sz w:val="21"/>
              </w:rPr>
            </w:pPr>
          </w:p>
        </w:tc>
      </w:tr>
    </w:tbl>
    <w:p w14:paraId="540957D4">
      <w:pPr>
        <w:pStyle w:val="2"/>
        <w:spacing w:line="446" w:lineRule="auto"/>
      </w:pPr>
    </w:p>
    <w:p w14:paraId="71B757D5">
      <w:pPr>
        <w:spacing w:line="471" w:lineRule="exact"/>
        <w:ind w:firstLine="626"/>
      </w:pPr>
      <w:r>
        <w:rPr>
          <w:position w:val="-9"/>
        </w:rPr>
        <w:pict>
          <v:shape id="_x0000_s1032" o:spid="_x0000_s1032" style="height:23.55pt;width:409.4pt;" filled="f" stroked="t" coordsize="8187,470" path="m0,4l8187,4m0,465l8187,465e">
            <v:fill on="f" focussize="0,0"/>
            <v:stroke weight="0.48pt" color="#000000" miterlimit="2" joinstyle="bevel"/>
            <v:imagedata o:title=""/>
            <o:lock v:ext="edit"/>
            <w10:wrap type="none"/>
            <w10:anchorlock/>
          </v:shape>
        </w:pict>
      </w:r>
    </w:p>
    <w:p w14:paraId="65E54A51">
      <w:pPr>
        <w:spacing w:before="252" w:line="225" w:lineRule="auto"/>
        <w:ind w:left="105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住院医师签字：</w:t>
      </w:r>
      <w:r>
        <w:rPr>
          <w:rFonts w:ascii="仿宋" w:hAnsi="仿宋" w:eastAsia="仿宋" w:cs="仿宋"/>
          <w:spacing w:val="6"/>
          <w:sz w:val="20"/>
          <w:szCs w:val="20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6"/>
          <w:sz w:val="20"/>
          <w:szCs w:val="20"/>
        </w:rPr>
        <w:t xml:space="preserve">           指导医师签字：</w:t>
      </w:r>
      <w:r>
        <w:rPr>
          <w:rFonts w:ascii="仿宋" w:hAnsi="仿宋" w:eastAsia="仿宋" w:cs="仿宋"/>
          <w:spacing w:val="1"/>
          <w:sz w:val="20"/>
          <w:szCs w:val="20"/>
          <w:u w:val="single" w:color="auto"/>
        </w:rPr>
        <w:t xml:space="preserve">               </w:t>
      </w:r>
    </w:p>
    <w:p w14:paraId="0D2464CC">
      <w:pPr>
        <w:spacing w:before="101" w:line="323" w:lineRule="auto"/>
        <w:ind w:left="32" w:right="14" w:firstLine="645"/>
        <w:jc w:val="both"/>
        <w:rPr>
          <w:rFonts w:ascii="楷体" w:hAnsi="楷体" w:eastAsia="楷体" w:cs="楷体"/>
          <w:sz w:val="31"/>
          <w:szCs w:val="31"/>
        </w:rPr>
      </w:pPr>
    </w:p>
    <w:sectPr>
      <w:headerReference r:id="rId17" w:type="default"/>
      <w:footerReference r:id="rId18" w:type="default"/>
      <w:pgSz w:w="11906" w:h="16839"/>
      <w:pgMar w:top="1135" w:right="1785" w:bottom="1201" w:left="1785" w:header="860" w:footer="9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47FA8">
    <w:pPr>
      <w:spacing w:line="230" w:lineRule="auto"/>
      <w:ind w:left="4086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863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863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72D64">
    <w:pPr>
      <w:spacing w:line="230" w:lineRule="auto"/>
      <w:ind w:left="4086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1288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1288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1F2A5">
    <w:pPr>
      <w:spacing w:line="229" w:lineRule="auto"/>
      <w:ind w:left="4086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A44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A44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33E65">
    <w:pPr>
      <w:spacing w:line="230" w:lineRule="auto"/>
      <w:ind w:left="4086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3A3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3A3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BF84F">
    <w:pPr>
      <w:spacing w:line="229" w:lineRule="auto"/>
      <w:ind w:left="4086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EB3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EB3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EAD79">
    <w:pPr>
      <w:spacing w:line="229" w:lineRule="auto"/>
      <w:ind w:left="4086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DDD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FDDD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A68FF">
    <w:pPr>
      <w:spacing w:line="229" w:lineRule="auto"/>
      <w:ind w:left="4086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EC2A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CEC2A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Start w:id="3" w:name="_GoBack"/>
    <w:bookmarkEnd w:id="3"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743B6">
    <w:pPr>
      <w:spacing w:line="229" w:lineRule="auto"/>
      <w:ind w:left="4083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19F8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19F8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2B0B6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30AB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BDF4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AEF09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AEF09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AEF0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B708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7439</Words>
  <Characters>7779</Characters>
  <TotalTime>2</TotalTime>
  <ScaleCrop>false</ScaleCrop>
  <LinksUpToDate>false</LinksUpToDate>
  <CharactersWithSpaces>8684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2022-11-20T15:42:00Z</dcterms:created>
  <dc:creator>dell</dc:creator>
  <cp:lastModifiedBy>晓馨dolphin</cp:lastModifiedBy>
  <dcterms:modified xsi:type="dcterms:W3CDTF">2025-01-20T02:22:28Z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2025-01-20T10:20:12Z</vt:filetime>
  </property>
  <property fmtid="{D5CDD505-2E9C-101B-9397-08002B2CF9AE}" pid="4" name="KSOTemplateDocerSaveRecord">
    <vt:lpwstr>eyJoZGlkIjoiNWMyYTZjYWJhZjM0YjE3NTc0YThkY2U1MjNmN2NlOGIiLCJ1c2VySWQiOiIxMTc2NDA4NDE0In0=</vt:lpwstr>
  </property>
  <property fmtid="{D5CDD505-2E9C-101B-9397-08002B2CF9AE}" pid="5" name="KSOProductBuildVer">
    <vt:lpwstr>2052-12.1.0.19302</vt:lpwstr>
  </property>
  <property fmtid="{D5CDD505-2E9C-101B-9397-08002B2CF9AE}" pid="6" name="ICV">
    <vt:lpwstr>489E2616324D46AF8DCA74CD12A6DF20_12</vt:lpwstr>
  </property>
</Properties>
</file>