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0D6D1">
      <w:pPr>
        <w:spacing w:line="286" w:lineRule="auto"/>
        <w:rPr>
          <w:rFonts w:ascii="Arial"/>
          <w:sz w:val="21"/>
        </w:rPr>
      </w:pPr>
    </w:p>
    <w:p w14:paraId="204A981B">
      <w:pPr>
        <w:spacing w:line="287" w:lineRule="auto"/>
        <w:rPr>
          <w:rFonts w:ascii="Arial"/>
          <w:sz w:val="21"/>
        </w:rPr>
      </w:pPr>
    </w:p>
    <w:p w14:paraId="5C821CD6">
      <w:pPr>
        <w:spacing w:before="185" w:line="182" w:lineRule="auto"/>
        <w:ind w:left="1080"/>
        <w:outlineLvl w:val="0"/>
        <w:rPr>
          <w:rFonts w:ascii="微软雅黑" w:hAnsi="微软雅黑" w:eastAsia="微软雅黑" w:cs="微软雅黑"/>
          <w:sz w:val="43"/>
          <w:szCs w:val="43"/>
        </w:rPr>
      </w:pPr>
      <w:r>
        <w:rPr>
          <w:rFonts w:ascii="微软雅黑" w:hAnsi="微软雅黑" w:eastAsia="微软雅黑" w:cs="微软雅黑"/>
          <w:b/>
          <w:bCs/>
          <w:spacing w:val="10"/>
          <w:sz w:val="43"/>
          <w:szCs w:val="43"/>
        </w:rPr>
        <w:t>住院医师规范化培训麻醉科专业</w:t>
      </w:r>
    </w:p>
    <w:p w14:paraId="5B72B565">
      <w:pPr>
        <w:spacing w:before="2" w:line="204" w:lineRule="auto"/>
        <w:ind w:left="2408"/>
        <w:outlineLvl w:val="0"/>
        <w:rPr>
          <w:rFonts w:ascii="微软雅黑" w:hAnsi="微软雅黑" w:eastAsia="微软雅黑" w:cs="微软雅黑"/>
          <w:sz w:val="43"/>
          <w:szCs w:val="43"/>
        </w:rPr>
      </w:pPr>
      <w:r>
        <w:rPr>
          <w:rFonts w:ascii="微软雅黑" w:hAnsi="微软雅黑" w:eastAsia="微软雅黑" w:cs="微软雅黑"/>
          <w:b/>
          <w:bCs/>
          <w:spacing w:val="10"/>
          <w:sz w:val="43"/>
          <w:szCs w:val="43"/>
        </w:rPr>
        <w:t>教学查房实施指引</w:t>
      </w:r>
    </w:p>
    <w:p w14:paraId="5DF1707C">
      <w:pPr>
        <w:spacing w:line="209" w:lineRule="auto"/>
        <w:ind w:left="3019"/>
        <w:outlineLvl w:val="0"/>
        <w:rPr>
          <w:rFonts w:ascii="微软雅黑" w:hAnsi="微软雅黑" w:eastAsia="微软雅黑" w:cs="微软雅黑"/>
          <w:sz w:val="35"/>
          <w:szCs w:val="35"/>
        </w:rPr>
      </w:pPr>
      <w:r>
        <w:rPr>
          <w:rFonts w:ascii="微软雅黑" w:hAnsi="微软雅黑" w:eastAsia="微软雅黑" w:cs="微软雅黑"/>
          <w:b/>
          <w:bCs/>
          <w:spacing w:val="-9"/>
          <w:sz w:val="35"/>
          <w:szCs w:val="35"/>
        </w:rPr>
        <w:t>（2024 年版）</w:t>
      </w:r>
    </w:p>
    <w:p w14:paraId="11205906">
      <w:pPr>
        <w:spacing w:line="399" w:lineRule="auto"/>
        <w:rPr>
          <w:rFonts w:ascii="Arial"/>
          <w:sz w:val="21"/>
        </w:rPr>
      </w:pPr>
    </w:p>
    <w:p w14:paraId="584DA1DA">
      <w:pPr>
        <w:pStyle w:val="2"/>
        <w:spacing w:before="100" w:line="288" w:lineRule="auto"/>
        <w:ind w:left="37" w:right="16" w:firstLine="637"/>
        <w:jc w:val="both"/>
      </w:pPr>
      <w:r>
        <w:rPr>
          <w:spacing w:val="22"/>
        </w:rPr>
        <w:t>住院医师规范化培训麻醉</w:t>
      </w:r>
      <w:r>
        <w:rPr>
          <w:spacing w:val="22"/>
        </w:rPr>
        <w:t>科专业教学查房是由指导医 师组织</w:t>
      </w:r>
      <w:r>
        <w:rPr>
          <w:rFonts w:hint="eastAsia"/>
          <w:spacing w:val="22"/>
          <w:lang w:eastAsia="zh-CN"/>
        </w:rPr>
        <w:t>，</w:t>
      </w:r>
      <w:r>
        <w:rPr>
          <w:spacing w:val="22"/>
        </w:rPr>
        <w:t>围绕真实手术患者的围术期管理</w:t>
      </w:r>
      <w:r>
        <w:rPr>
          <w:rFonts w:hint="eastAsia"/>
          <w:spacing w:val="22"/>
          <w:lang w:eastAsia="zh-CN"/>
        </w:rPr>
        <w:t>，</w:t>
      </w:r>
      <w:r>
        <w:rPr>
          <w:spacing w:val="22"/>
        </w:rPr>
        <w:t>以培养住院医 师术前访视、麻醉方案制订、临床麻醉规范操作和管理思 维、职业素养等胜任力为目标的综合性实践教学活动</w:t>
      </w:r>
      <w:r>
        <w:rPr>
          <w:spacing w:val="8"/>
        </w:rPr>
        <w:t>。</w:t>
      </w:r>
    </w:p>
    <w:p w14:paraId="7368D1E9">
      <w:pPr>
        <w:spacing w:before="55" w:line="228" w:lineRule="auto"/>
        <w:ind w:left="43"/>
        <w:outlineLvl w:val="1"/>
        <w:rPr>
          <w:rFonts w:ascii="黑体" w:hAnsi="黑体" w:eastAsia="黑体" w:cs="黑体"/>
          <w:sz w:val="31"/>
          <w:szCs w:val="31"/>
        </w:rPr>
      </w:pPr>
      <w:r>
        <w:rPr>
          <w:rFonts w:ascii="黑体" w:hAnsi="黑体" w:eastAsia="黑体" w:cs="黑体"/>
          <w:b/>
          <w:bCs/>
          <w:spacing w:val="-22"/>
          <w:sz w:val="31"/>
          <w:szCs w:val="31"/>
        </w:rPr>
        <w:t>1</w:t>
      </w:r>
      <w:r>
        <w:rPr>
          <w:rFonts w:ascii="黑体" w:hAnsi="黑体" w:eastAsia="黑体" w:cs="黑体"/>
          <w:spacing w:val="32"/>
          <w:sz w:val="31"/>
          <w:szCs w:val="31"/>
        </w:rPr>
        <w:t xml:space="preserve">  </w:t>
      </w:r>
      <w:r>
        <w:rPr>
          <w:rFonts w:ascii="黑体" w:hAnsi="黑体" w:eastAsia="黑体" w:cs="黑体"/>
          <w:b/>
          <w:bCs/>
          <w:spacing w:val="-22"/>
          <w:sz w:val="31"/>
          <w:szCs w:val="31"/>
        </w:rPr>
        <w:t>目的</w:t>
      </w:r>
    </w:p>
    <w:p w14:paraId="0F2135C6">
      <w:pPr>
        <w:pStyle w:val="2"/>
        <w:spacing w:before="34" w:line="286" w:lineRule="auto"/>
        <w:ind w:left="33" w:right="16" w:firstLine="642"/>
        <w:jc w:val="both"/>
      </w:pPr>
      <w:r>
        <w:rPr>
          <w:spacing w:val="22"/>
        </w:rPr>
        <w:t>通过教学互动，对手术患者的围术期管理过程进行剖</w:t>
      </w:r>
      <w:r>
        <w:t xml:space="preserve"> </w:t>
      </w:r>
      <w:r>
        <w:rPr>
          <w:spacing w:val="14"/>
        </w:rPr>
        <w:t>析与学习，贯彻</w:t>
      </w:r>
      <w:r>
        <w:rPr>
          <w:spacing w:val="-85"/>
        </w:rPr>
        <w:t xml:space="preserve"> </w:t>
      </w:r>
      <w:r>
        <w:rPr>
          <w:spacing w:val="14"/>
        </w:rPr>
        <w:t>“</w:t>
      </w:r>
      <w:r>
        <w:rPr>
          <w:spacing w:val="-86"/>
        </w:rPr>
        <w:t xml:space="preserve"> </w:t>
      </w:r>
      <w:r>
        <w:rPr>
          <w:spacing w:val="14"/>
        </w:rPr>
        <w:t>以患者为中心”</w:t>
      </w:r>
      <w:r>
        <w:rPr>
          <w:spacing w:val="-115"/>
        </w:rPr>
        <w:t xml:space="preserve"> </w:t>
      </w:r>
      <w:r>
        <w:rPr>
          <w:spacing w:val="14"/>
        </w:rPr>
        <w:t>的医疗服务理念，培养</w:t>
      </w:r>
      <w:r>
        <w:t xml:space="preserve"> </w:t>
      </w:r>
      <w:r>
        <w:rPr>
          <w:spacing w:val="8"/>
        </w:rPr>
        <w:t>住院医师的核心胜任力。教学培养目标包括：</w:t>
      </w:r>
    </w:p>
    <w:p w14:paraId="0765B045">
      <w:pPr>
        <w:pStyle w:val="2"/>
        <w:spacing w:before="50" w:line="221" w:lineRule="auto"/>
        <w:ind w:left="660"/>
      </w:pPr>
      <w:r>
        <w:rPr>
          <w:spacing w:val="4"/>
        </w:rPr>
        <w:t>（</w:t>
      </w:r>
      <w:r>
        <w:rPr>
          <w:spacing w:val="-65"/>
        </w:rPr>
        <w:t xml:space="preserve"> </w:t>
      </w:r>
      <w:r>
        <w:rPr>
          <w:spacing w:val="4"/>
        </w:rPr>
        <w:t>1）概括疾病手术需求并设计麻醉</w:t>
      </w:r>
      <w:r>
        <w:rPr>
          <w:spacing w:val="4"/>
        </w:rPr>
        <w:t>方案；</w:t>
      </w:r>
    </w:p>
    <w:p w14:paraId="635A94E0">
      <w:pPr>
        <w:pStyle w:val="2"/>
        <w:spacing w:before="128" w:line="221" w:lineRule="auto"/>
        <w:ind w:left="660"/>
      </w:pPr>
      <w:r>
        <w:rPr>
          <w:spacing w:val="5"/>
        </w:rPr>
        <w:t>（</w:t>
      </w:r>
      <w:r>
        <w:rPr>
          <w:spacing w:val="-82"/>
        </w:rPr>
        <w:t xml:space="preserve"> </w:t>
      </w:r>
      <w:r>
        <w:rPr>
          <w:spacing w:val="5"/>
        </w:rPr>
        <w:t>2）评估</w:t>
      </w:r>
      <w:r>
        <w:rPr>
          <w:spacing w:val="4"/>
        </w:rPr>
        <w:t>麻醉</w:t>
      </w:r>
      <w:r>
        <w:rPr>
          <w:spacing w:val="5"/>
        </w:rPr>
        <w:t>相关</w:t>
      </w:r>
      <w:r>
        <w:rPr>
          <w:rFonts w:ascii="宋体" w:hAnsi="宋体" w:eastAsia="宋体" w:cs="宋体"/>
          <w:spacing w:val="5"/>
        </w:rPr>
        <w:t>风险</w:t>
      </w:r>
      <w:r>
        <w:rPr>
          <w:spacing w:val="5"/>
        </w:rPr>
        <w:t>并制订解决预案；</w:t>
      </w:r>
    </w:p>
    <w:p w14:paraId="464BBEC7">
      <w:pPr>
        <w:pStyle w:val="2"/>
        <w:spacing w:before="126" w:line="221" w:lineRule="auto"/>
        <w:ind w:left="660"/>
      </w:pPr>
      <w:r>
        <w:rPr>
          <w:spacing w:val="4"/>
        </w:rPr>
        <w:t>（</w:t>
      </w:r>
      <w:r>
        <w:rPr>
          <w:spacing w:val="-63"/>
        </w:rPr>
        <w:t xml:space="preserve"> </w:t>
      </w:r>
      <w:r>
        <w:rPr>
          <w:spacing w:val="4"/>
        </w:rPr>
        <w:t>3）预测</w:t>
      </w:r>
      <w:r>
        <w:rPr>
          <w:spacing w:val="4"/>
        </w:rPr>
        <w:t>围麻醉</w:t>
      </w:r>
      <w:r>
        <w:rPr>
          <w:spacing w:val="4"/>
        </w:rPr>
        <w:t>期转</w:t>
      </w:r>
      <w:r>
        <w:rPr>
          <w:spacing w:val="4"/>
        </w:rPr>
        <w:t>归并提出预防措</w:t>
      </w:r>
      <w:r>
        <w:rPr>
          <w:spacing w:val="4"/>
        </w:rPr>
        <w:t>施；</w:t>
      </w:r>
    </w:p>
    <w:p w14:paraId="593A7A6C">
      <w:pPr>
        <w:pStyle w:val="2"/>
        <w:spacing w:before="129" w:line="220" w:lineRule="auto"/>
        <w:ind w:left="660"/>
      </w:pPr>
      <w:r>
        <w:rPr>
          <w:spacing w:val="5"/>
        </w:rPr>
        <w:t>（</w:t>
      </w:r>
      <w:r>
        <w:rPr>
          <w:spacing w:val="-82"/>
        </w:rPr>
        <w:t xml:space="preserve"> </w:t>
      </w:r>
      <w:r>
        <w:rPr>
          <w:spacing w:val="5"/>
        </w:rPr>
        <w:t>4）提出临床问题并引导开展自主学习；</w:t>
      </w:r>
    </w:p>
    <w:p w14:paraId="0B27198B">
      <w:pPr>
        <w:pStyle w:val="2"/>
        <w:spacing w:before="126" w:line="221" w:lineRule="auto"/>
        <w:ind w:left="660"/>
      </w:pPr>
      <w:r>
        <w:t>（</w:t>
      </w:r>
      <w:r>
        <w:rPr>
          <w:spacing w:val="-75"/>
        </w:rPr>
        <w:t xml:space="preserve"> </w:t>
      </w:r>
      <w:r>
        <w:t>5）示</w:t>
      </w:r>
      <w:r>
        <w:rPr>
          <w:spacing w:val="5"/>
        </w:rPr>
        <w:t>范手术团队合作并体现人文关怀</w:t>
      </w:r>
      <w:r>
        <w:t>。</w:t>
      </w:r>
    </w:p>
    <w:p w14:paraId="19BA61AB">
      <w:pPr>
        <w:spacing w:before="128" w:line="229" w:lineRule="auto"/>
        <w:ind w:left="24"/>
        <w:outlineLvl w:val="1"/>
        <w:rPr>
          <w:rFonts w:ascii="黑体" w:hAnsi="黑体" w:eastAsia="黑体" w:cs="黑体"/>
          <w:sz w:val="31"/>
          <w:szCs w:val="31"/>
        </w:rPr>
      </w:pPr>
      <w:r>
        <w:rPr>
          <w:rFonts w:ascii="黑体" w:hAnsi="黑体" w:eastAsia="黑体" w:cs="黑体"/>
          <w:b/>
          <w:bCs/>
          <w:spacing w:val="-4"/>
          <w:sz w:val="31"/>
          <w:szCs w:val="31"/>
        </w:rPr>
        <w:t>2</w:t>
      </w:r>
      <w:r>
        <w:rPr>
          <w:rFonts w:ascii="黑体" w:hAnsi="黑体" w:eastAsia="黑体" w:cs="黑体"/>
          <w:spacing w:val="14"/>
          <w:sz w:val="31"/>
          <w:szCs w:val="31"/>
        </w:rPr>
        <w:t xml:space="preserve">  </w:t>
      </w:r>
      <w:r>
        <w:rPr>
          <w:rFonts w:ascii="黑体" w:hAnsi="黑体" w:eastAsia="黑体" w:cs="黑体"/>
          <w:b/>
          <w:bCs/>
          <w:spacing w:val="-4"/>
          <w:sz w:val="31"/>
          <w:szCs w:val="31"/>
        </w:rPr>
        <w:t>形式</w:t>
      </w:r>
    </w:p>
    <w:p w14:paraId="1323E2C3">
      <w:pPr>
        <w:pStyle w:val="2"/>
        <w:spacing w:before="24" w:line="291" w:lineRule="auto"/>
        <w:ind w:left="31" w:right="16" w:firstLine="638"/>
        <w:jc w:val="both"/>
      </w:pPr>
      <w:r>
        <w:rPr>
          <w:spacing w:val="5"/>
        </w:rPr>
        <w:t>麻醉科专业教学查房是以真实手术患者围术期管理过 程为教学内容，要求指导医师</w:t>
      </w:r>
      <w:r>
        <w:rPr>
          <w:spacing w:val="21"/>
        </w:rPr>
        <w:t>、住院医师、患者三方共同</w:t>
      </w:r>
      <w:r>
        <w:rPr>
          <w:spacing w:val="6"/>
        </w:rPr>
        <w:t xml:space="preserve"> </w:t>
      </w:r>
      <w:r>
        <w:rPr>
          <w:spacing w:val="18"/>
        </w:rPr>
        <w:t>参与教学互动，促进住院医师从临床案例诊疗中学习。</w:t>
      </w:r>
      <w:r>
        <w:rPr>
          <w:spacing w:val="-74"/>
        </w:rPr>
        <w:t xml:space="preserve"> </w:t>
      </w:r>
      <w:r>
        <w:rPr>
          <w:spacing w:val="18"/>
        </w:rPr>
        <w:t>通</w:t>
      </w:r>
      <w:r>
        <w:t xml:space="preserve"> </w:t>
      </w:r>
      <w:r>
        <w:rPr>
          <w:spacing w:val="21"/>
        </w:rPr>
        <w:t>过指导医师启发与指导、针对相关临床问题全程探讨并学</w:t>
      </w:r>
      <w:r>
        <w:rPr>
          <w:spacing w:val="6"/>
        </w:rPr>
        <w:t xml:space="preserve"> 习的形式进行。</w:t>
      </w:r>
    </w:p>
    <w:p w14:paraId="304FE788">
      <w:pPr>
        <w:spacing w:before="52" w:line="228" w:lineRule="auto"/>
        <w:ind w:left="27"/>
        <w:outlineLvl w:val="1"/>
        <w:rPr>
          <w:rFonts w:ascii="黑体" w:hAnsi="黑体" w:eastAsia="黑体" w:cs="黑体"/>
          <w:sz w:val="31"/>
          <w:szCs w:val="31"/>
        </w:rPr>
      </w:pPr>
      <w:r>
        <w:rPr>
          <w:rFonts w:ascii="黑体" w:hAnsi="黑体" w:eastAsia="黑体" w:cs="黑体"/>
          <w:b/>
          <w:bCs/>
          <w:spacing w:val="1"/>
          <w:sz w:val="31"/>
          <w:szCs w:val="31"/>
        </w:rPr>
        <w:t>3</w:t>
      </w:r>
      <w:r>
        <w:rPr>
          <w:rFonts w:ascii="黑体" w:hAnsi="黑体" w:eastAsia="黑体" w:cs="黑体"/>
          <w:spacing w:val="13"/>
          <w:sz w:val="31"/>
          <w:szCs w:val="31"/>
        </w:rPr>
        <w:t xml:space="preserve">  </w:t>
      </w:r>
      <w:r>
        <w:rPr>
          <w:rFonts w:ascii="黑体" w:hAnsi="黑体" w:eastAsia="黑体" w:cs="黑体"/>
          <w:b/>
          <w:bCs/>
          <w:spacing w:val="1"/>
          <w:sz w:val="31"/>
          <w:szCs w:val="31"/>
        </w:rPr>
        <w:t>组织安排</w:t>
      </w:r>
    </w:p>
    <w:p w14:paraId="1C279589">
      <w:pPr>
        <w:pStyle w:val="2"/>
        <w:spacing w:before="34" w:line="280" w:lineRule="auto"/>
        <w:ind w:left="71" w:right="16" w:firstLine="598"/>
      </w:pPr>
      <w:r>
        <w:rPr>
          <w:spacing w:val="18"/>
        </w:rPr>
        <w:t>麻醉科专业教学查房应由麻醉科专业基地统筹安排， 由具有丰富临床经验的高年资主治医师</w:t>
      </w:r>
      <w:r>
        <w:rPr>
          <w:spacing w:val="19"/>
        </w:rPr>
        <w:t>或高级职称的指导</w:t>
      </w:r>
    </w:p>
    <w:p w14:paraId="494FDAB4">
      <w:pPr>
        <w:spacing w:line="280" w:lineRule="auto"/>
        <w:sectPr>
          <w:footerReference r:id="rId5" w:type="default"/>
          <w:pgSz w:w="11900" w:h="16840"/>
          <w:pgMar w:top="841" w:right="1785" w:bottom="1195" w:left="1785" w:header="0" w:footer="1016" w:gutter="0"/>
          <w:cols w:space="720" w:num="1"/>
        </w:sectPr>
      </w:pPr>
    </w:p>
    <w:p w14:paraId="23D146D7">
      <w:pPr>
        <w:pStyle w:val="2"/>
        <w:spacing w:before="101" w:line="289" w:lineRule="auto"/>
        <w:ind w:left="35" w:firstLine="29"/>
        <w:jc w:val="both"/>
      </w:pPr>
      <w:r>
        <w:rPr>
          <w:spacing w:val="20"/>
        </w:rPr>
        <w:t>医师组织实施，从以下主要环节做好组织安排：按照</w:t>
      </w:r>
      <w:r>
        <w:rPr>
          <w:spacing w:val="19"/>
        </w:rPr>
        <w:t>培训</w:t>
      </w:r>
      <w:r>
        <w:t xml:space="preserve"> </w:t>
      </w:r>
      <w:r>
        <w:rPr>
          <w:spacing w:val="18"/>
        </w:rPr>
        <w:t>细则要求，</w:t>
      </w:r>
      <w:r>
        <w:rPr>
          <w:spacing w:val="-78"/>
        </w:rPr>
        <w:t xml:space="preserve"> </w:t>
      </w:r>
      <w:r>
        <w:rPr>
          <w:spacing w:val="18"/>
        </w:rPr>
        <w:t>明确不同</w:t>
      </w:r>
      <w:r>
        <w:rPr>
          <w:spacing w:val="20"/>
        </w:rPr>
        <w:t>病种的麻醉学习要求；制订教学查房 计划；确定参与人员、频次及时间安排（至少每两周一次）;开展对教学查房的评价与督导管理。</w:t>
      </w:r>
    </w:p>
    <w:p w14:paraId="0ABCDA68">
      <w:pPr>
        <w:spacing w:before="48" w:line="227" w:lineRule="auto"/>
        <w:ind w:left="18"/>
        <w:outlineLvl w:val="1"/>
        <w:rPr>
          <w:rFonts w:ascii="黑体" w:hAnsi="黑体" w:eastAsia="黑体" w:cs="黑体"/>
          <w:sz w:val="31"/>
          <w:szCs w:val="31"/>
        </w:rPr>
      </w:pPr>
      <w:r>
        <w:rPr>
          <w:rFonts w:ascii="黑体" w:hAnsi="黑体" w:eastAsia="黑体" w:cs="黑体"/>
          <w:b/>
          <w:bCs/>
          <w:spacing w:val="2"/>
          <w:sz w:val="31"/>
          <w:szCs w:val="31"/>
        </w:rPr>
        <w:t>4</w:t>
      </w:r>
      <w:r>
        <w:rPr>
          <w:rFonts w:ascii="黑体" w:hAnsi="黑体" w:eastAsia="黑体" w:cs="黑体"/>
          <w:spacing w:val="15"/>
          <w:sz w:val="31"/>
          <w:szCs w:val="31"/>
        </w:rPr>
        <w:t xml:space="preserve">  </w:t>
      </w:r>
      <w:r>
        <w:rPr>
          <w:rFonts w:ascii="黑体" w:hAnsi="黑体" w:eastAsia="黑体" w:cs="黑体"/>
          <w:b/>
          <w:bCs/>
          <w:spacing w:val="2"/>
          <w:sz w:val="31"/>
          <w:szCs w:val="31"/>
        </w:rPr>
        <w:t>准备工作</w:t>
      </w:r>
    </w:p>
    <w:p w14:paraId="05A58EDC">
      <w:pPr>
        <w:spacing w:before="34" w:line="232" w:lineRule="auto"/>
        <w:ind w:left="18"/>
        <w:outlineLvl w:val="1"/>
        <w:rPr>
          <w:rFonts w:ascii="楷体" w:hAnsi="楷体" w:eastAsia="楷体" w:cs="楷体"/>
          <w:sz w:val="31"/>
          <w:szCs w:val="31"/>
        </w:rPr>
      </w:pPr>
      <w:r>
        <w:rPr>
          <w:rFonts w:ascii="楷体" w:hAnsi="楷体" w:eastAsia="楷体" w:cs="楷体"/>
          <w:b/>
          <w:bCs/>
          <w:spacing w:val="2"/>
          <w:sz w:val="31"/>
          <w:szCs w:val="31"/>
        </w:rPr>
        <w:t>4.1</w:t>
      </w:r>
      <w:r>
        <w:rPr>
          <w:rFonts w:ascii="楷体" w:hAnsi="楷体" w:eastAsia="楷体" w:cs="楷体"/>
          <w:spacing w:val="15"/>
          <w:sz w:val="31"/>
          <w:szCs w:val="31"/>
        </w:rPr>
        <w:t xml:space="preserve">  </w:t>
      </w:r>
      <w:r>
        <w:rPr>
          <w:rFonts w:ascii="楷体" w:hAnsi="楷体" w:eastAsia="楷体" w:cs="楷体"/>
          <w:b/>
          <w:bCs/>
          <w:spacing w:val="2"/>
          <w:sz w:val="31"/>
          <w:szCs w:val="31"/>
        </w:rPr>
        <w:t>病例选择</w:t>
      </w:r>
    </w:p>
    <w:p w14:paraId="23D8429B">
      <w:pPr>
        <w:pStyle w:val="2"/>
        <w:spacing w:before="111" w:line="272" w:lineRule="auto"/>
        <w:ind w:left="29" w:right="16" w:firstLine="630"/>
      </w:pPr>
      <w:r>
        <w:rPr>
          <w:spacing w:val="12"/>
        </w:rPr>
        <w:t>（</w:t>
      </w:r>
      <w:r>
        <w:rPr>
          <w:spacing w:val="-74"/>
        </w:rPr>
        <w:t xml:space="preserve"> </w:t>
      </w:r>
      <w:r>
        <w:rPr>
          <w:spacing w:val="12"/>
        </w:rPr>
        <w:t>1）应选择麻醉科专业培训细则要求掌握的常见亚专 业麻醉病例，也可选择有代表性和有教学价值的专科</w:t>
      </w:r>
      <w:r>
        <w:rPr>
          <w:spacing w:val="12"/>
        </w:rPr>
        <w:t>麻醉</w:t>
      </w:r>
      <w:r>
        <w:rPr>
          <w:rFonts w:ascii="宋体" w:hAnsi="宋体" w:eastAsia="宋体" w:cs="宋体"/>
          <w:spacing w:val="7"/>
        </w:rPr>
        <w:t xml:space="preserve"> </w:t>
      </w:r>
      <w:r>
        <w:rPr>
          <w:spacing w:val="1"/>
        </w:rPr>
        <w:t>病例。</w:t>
      </w:r>
    </w:p>
    <w:p w14:paraId="0173C2DB">
      <w:pPr>
        <w:pStyle w:val="2"/>
        <w:spacing w:before="120" w:line="260" w:lineRule="auto"/>
        <w:ind w:left="37" w:right="17" w:firstLine="622"/>
      </w:pPr>
      <w:r>
        <w:rPr>
          <w:spacing w:val="12"/>
        </w:rPr>
        <w:t>（</w:t>
      </w:r>
      <w:r>
        <w:rPr>
          <w:spacing w:val="-76"/>
        </w:rPr>
        <w:t xml:space="preserve"> </w:t>
      </w:r>
      <w:r>
        <w:rPr>
          <w:spacing w:val="12"/>
        </w:rPr>
        <w:t>2）所选择的病例可处于术前阶段，也可处于术后阶 段。病例应由参加查房的住院医师主要负责实施麻醉。</w:t>
      </w:r>
    </w:p>
    <w:p w14:paraId="0BBE43E2">
      <w:pPr>
        <w:pStyle w:val="2"/>
        <w:spacing w:before="124" w:line="271" w:lineRule="auto"/>
        <w:ind w:left="23" w:right="16" w:firstLine="636"/>
      </w:pPr>
      <w:r>
        <w:rPr>
          <w:spacing w:val="11"/>
        </w:rPr>
        <w:t>（</w:t>
      </w:r>
      <w:r>
        <w:rPr>
          <w:spacing w:val="-52"/>
        </w:rPr>
        <w:t xml:space="preserve"> </w:t>
      </w:r>
      <w:r>
        <w:rPr>
          <w:spacing w:val="11"/>
        </w:rPr>
        <w:t>3）</w:t>
      </w:r>
      <w:r>
        <w:rPr>
          <w:spacing w:val="12"/>
        </w:rPr>
        <w:t>所选择的病例应病史清晰、诊断明确、相关辅助检查资料完整；手术方式、麻醉方式基本确定</w:t>
      </w:r>
      <w:r>
        <w:rPr>
          <w:rFonts w:hint="eastAsia"/>
          <w:spacing w:val="12"/>
          <w:lang w:eastAsia="zh-CN"/>
        </w:rPr>
        <w:t>，</w:t>
      </w:r>
      <w:r>
        <w:rPr>
          <w:spacing w:val="12"/>
        </w:rPr>
        <w:t>在围术期麻醉管理中存在需要分析与思考的环节。</w:t>
      </w:r>
    </w:p>
    <w:p w14:paraId="7E82CD48">
      <w:pPr>
        <w:pStyle w:val="2"/>
        <w:spacing w:before="127" w:line="260" w:lineRule="auto"/>
        <w:ind w:left="53" w:right="16" w:firstLine="606"/>
        <w:rPr>
          <w:spacing w:val="12"/>
        </w:rPr>
      </w:pPr>
      <w:r>
        <w:rPr>
          <w:spacing w:val="12"/>
        </w:rPr>
        <w:t>（</w:t>
      </w:r>
      <w:r>
        <w:rPr>
          <w:spacing w:val="-76"/>
        </w:rPr>
        <w:t xml:space="preserve"> </w:t>
      </w:r>
      <w:r>
        <w:rPr>
          <w:spacing w:val="12"/>
        </w:rPr>
        <w:t>4）所选择的患者病情稳定，易</w:t>
      </w:r>
      <w:r>
        <w:rPr>
          <w:spacing w:val="12"/>
        </w:rPr>
        <w:t>于配合，避免影响</w:t>
      </w:r>
      <w:r>
        <w:rPr>
          <w:spacing w:val="12"/>
        </w:rPr>
        <w:t>正 常诊疗过程。</w:t>
      </w:r>
    </w:p>
    <w:p w14:paraId="52A42D86">
      <w:pPr>
        <w:pStyle w:val="2"/>
        <w:spacing w:before="123" w:line="260" w:lineRule="auto"/>
        <w:ind w:left="31" w:right="19" w:firstLine="629"/>
      </w:pPr>
      <w:r>
        <w:rPr>
          <w:spacing w:val="12"/>
        </w:rPr>
        <w:t>（</w:t>
      </w:r>
      <w:r>
        <w:rPr>
          <w:spacing w:val="-78"/>
        </w:rPr>
        <w:t xml:space="preserve"> </w:t>
      </w:r>
      <w:r>
        <w:rPr>
          <w:spacing w:val="12"/>
        </w:rPr>
        <w:t>5）应提前与主管</w:t>
      </w:r>
      <w:r>
        <w:rPr>
          <w:rFonts w:ascii="宋体" w:hAnsi="宋体" w:eastAsia="宋体" w:cs="宋体"/>
          <w:spacing w:val="12"/>
        </w:rPr>
        <w:t>外</w:t>
      </w:r>
      <w:r>
        <w:rPr>
          <w:spacing w:val="12"/>
        </w:rPr>
        <w:t>科医师及患者或家属做好沟通并</w:t>
      </w:r>
      <w:r>
        <w:t xml:space="preserve"> </w:t>
      </w:r>
      <w:r>
        <w:rPr>
          <w:spacing w:val="6"/>
        </w:rPr>
        <w:t>取得知情同意。</w:t>
      </w:r>
    </w:p>
    <w:p w14:paraId="27AA3DED">
      <w:pPr>
        <w:spacing w:before="124" w:line="229" w:lineRule="auto"/>
        <w:ind w:left="18"/>
        <w:outlineLvl w:val="1"/>
        <w:rPr>
          <w:rFonts w:ascii="楷体" w:hAnsi="楷体" w:eastAsia="楷体" w:cs="楷体"/>
          <w:sz w:val="31"/>
          <w:szCs w:val="31"/>
        </w:rPr>
      </w:pPr>
      <w:r>
        <w:rPr>
          <w:rFonts w:ascii="楷体" w:hAnsi="楷体" w:eastAsia="楷体" w:cs="楷体"/>
          <w:b/>
          <w:bCs/>
          <w:spacing w:val="5"/>
          <w:sz w:val="31"/>
          <w:szCs w:val="31"/>
        </w:rPr>
        <w:t>4.2</w:t>
      </w:r>
      <w:r>
        <w:rPr>
          <w:rFonts w:ascii="楷体" w:hAnsi="楷体" w:eastAsia="楷体" w:cs="楷体"/>
          <w:spacing w:val="5"/>
          <w:sz w:val="31"/>
          <w:szCs w:val="31"/>
        </w:rPr>
        <w:t xml:space="preserve">  </w:t>
      </w:r>
      <w:r>
        <w:rPr>
          <w:rFonts w:ascii="楷体" w:hAnsi="楷体" w:eastAsia="楷体" w:cs="楷体"/>
          <w:b/>
          <w:bCs/>
          <w:spacing w:val="5"/>
          <w:sz w:val="31"/>
          <w:szCs w:val="31"/>
        </w:rPr>
        <w:t>指导医师的准备</w:t>
      </w:r>
    </w:p>
    <w:p w14:paraId="6DA7BF57">
      <w:pPr>
        <w:pStyle w:val="2"/>
        <w:spacing w:before="112" w:line="260" w:lineRule="auto"/>
        <w:ind w:left="37" w:right="19" w:firstLine="622"/>
      </w:pPr>
      <w:r>
        <w:rPr>
          <w:spacing w:val="12"/>
        </w:rPr>
        <w:t>（</w:t>
      </w:r>
      <w:r>
        <w:rPr>
          <w:spacing w:val="-74"/>
        </w:rPr>
        <w:t xml:space="preserve"> </w:t>
      </w:r>
      <w:r>
        <w:rPr>
          <w:spacing w:val="12"/>
        </w:rPr>
        <w:t>1）确定教学查房病例后，指导医师应查看</w:t>
      </w:r>
      <w:r>
        <w:rPr>
          <w:spacing w:val="11"/>
        </w:rPr>
        <w:t>患者，仔</w:t>
      </w:r>
      <w:r>
        <w:t xml:space="preserve"> </w:t>
      </w:r>
      <w:r>
        <w:rPr>
          <w:spacing w:val="7"/>
        </w:rPr>
        <w:t>细查阅病历，掌握病例信息。</w:t>
      </w:r>
    </w:p>
    <w:p w14:paraId="3DE79067">
      <w:pPr>
        <w:pStyle w:val="2"/>
        <w:spacing w:before="126" w:line="278" w:lineRule="auto"/>
        <w:ind w:left="28" w:right="16" w:firstLine="631"/>
        <w:rPr>
          <w:spacing w:val="12"/>
        </w:rPr>
      </w:pPr>
      <w:r>
        <w:rPr>
          <w:spacing w:val="12"/>
        </w:rPr>
        <w:t>（</w:t>
      </w:r>
      <w:r>
        <w:rPr>
          <w:spacing w:val="-76"/>
        </w:rPr>
        <w:t xml:space="preserve"> </w:t>
      </w:r>
      <w:r>
        <w:rPr>
          <w:spacing w:val="12"/>
        </w:rPr>
        <w:t>2）围绕患者目前病情特点及手术方式所需要的麻醉 管理方案，结合参与查房的住院医师情况确定本次教学查 房的具体教学目标、需要住院医师拓展的知识点， 以及教 学过程中的重点和难点。</w:t>
      </w:r>
    </w:p>
    <w:p w14:paraId="5A36A35C">
      <w:pPr>
        <w:pStyle w:val="2"/>
        <w:spacing w:before="126" w:line="278" w:lineRule="auto"/>
        <w:ind w:left="28" w:right="16" w:firstLine="631"/>
        <w:rPr>
          <w:spacing w:val="12"/>
        </w:rPr>
      </w:pPr>
      <w:r>
        <w:rPr>
          <w:spacing w:val="11"/>
        </w:rPr>
        <w:t>（</w:t>
      </w:r>
      <w:r>
        <w:rPr>
          <w:spacing w:val="-52"/>
        </w:rPr>
        <w:t xml:space="preserve"> </w:t>
      </w:r>
      <w:r>
        <w:rPr>
          <w:spacing w:val="11"/>
        </w:rPr>
        <w:t>3）</w:t>
      </w:r>
      <w:r>
        <w:rPr>
          <w:spacing w:val="12"/>
        </w:rPr>
        <w:t>根据本次教学查房的教学目标，设计讨论的重点 问题，并准备相关的临床和教学资料，包括参考文献、研 究数据或循证指南等。</w:t>
      </w:r>
    </w:p>
    <w:p w14:paraId="3311BFC7">
      <w:pPr>
        <w:pStyle w:val="2"/>
        <w:spacing w:before="126" w:line="278" w:lineRule="auto"/>
        <w:ind w:left="28" w:right="16" w:firstLine="631"/>
        <w:rPr>
          <w:spacing w:val="12"/>
        </w:rPr>
        <w:sectPr>
          <w:footerReference r:id="rId6" w:type="default"/>
          <w:pgSz w:w="11900" w:h="16840"/>
          <w:pgMar w:top="841" w:right="1784" w:bottom="1194" w:left="1785" w:header="0" w:footer="1016" w:gutter="0"/>
          <w:cols w:space="720" w:num="1"/>
        </w:sectPr>
      </w:pPr>
    </w:p>
    <w:p w14:paraId="070AA6BA">
      <w:pPr>
        <w:pStyle w:val="2"/>
        <w:spacing w:before="101" w:line="272" w:lineRule="auto"/>
        <w:ind w:left="17" w:right="16" w:firstLine="642"/>
      </w:pPr>
      <w:r>
        <w:rPr>
          <w:spacing w:val="12"/>
        </w:rPr>
        <w:t>（</w:t>
      </w:r>
      <w:r>
        <w:rPr>
          <w:spacing w:val="-76"/>
        </w:rPr>
        <w:t xml:space="preserve"> </w:t>
      </w:r>
      <w:r>
        <w:rPr>
          <w:spacing w:val="12"/>
        </w:rPr>
        <w:t>4）在教学查房前应与主管住院医师进行充分交流，</w:t>
      </w:r>
      <w:r>
        <w:t xml:space="preserve"> </w:t>
      </w:r>
      <w:r>
        <w:rPr>
          <w:spacing w:val="22"/>
        </w:rPr>
        <w:t>包括病例资料的准备、准备讨论的主要问题、</w:t>
      </w:r>
      <w:r>
        <w:rPr>
          <w:spacing w:val="21"/>
        </w:rPr>
        <w:t>其他住院医</w:t>
      </w:r>
      <w:r>
        <w:t xml:space="preserve"> </w:t>
      </w:r>
      <w:r>
        <w:rPr>
          <w:spacing w:val="9"/>
        </w:rPr>
        <w:t>师的分工、教学查房的整体安排等。</w:t>
      </w:r>
    </w:p>
    <w:p w14:paraId="47F7DEB8">
      <w:pPr>
        <w:pStyle w:val="2"/>
        <w:spacing w:before="127" w:line="278" w:lineRule="auto"/>
        <w:ind w:left="32" w:right="16" w:firstLine="627"/>
      </w:pPr>
      <w:r>
        <w:rPr>
          <w:spacing w:val="12"/>
        </w:rPr>
        <w:t>（</w:t>
      </w:r>
      <w:r>
        <w:rPr>
          <w:spacing w:val="-76"/>
        </w:rPr>
        <w:t xml:space="preserve"> </w:t>
      </w:r>
      <w:r>
        <w:rPr>
          <w:spacing w:val="12"/>
        </w:rPr>
        <w:t>5）建议撰写教学查房教案，主要包括教学对象、教</w:t>
      </w:r>
      <w:r>
        <w:t xml:space="preserve"> </w:t>
      </w:r>
      <w:r>
        <w:rPr>
          <w:spacing w:val="18"/>
        </w:rPr>
        <w:t>学目标、病例总结、查房流程、教学要求、</w:t>
      </w:r>
      <w:r>
        <w:rPr>
          <w:spacing w:val="-75"/>
        </w:rPr>
        <w:t xml:space="preserve"> </w:t>
      </w:r>
      <w:r>
        <w:rPr>
          <w:spacing w:val="18"/>
        </w:rPr>
        <w:t>时间安排、主</w:t>
      </w:r>
      <w:r>
        <w:t xml:space="preserve"> </w:t>
      </w:r>
      <w:r>
        <w:rPr>
          <w:spacing w:val="17"/>
        </w:rPr>
        <w:t>要讨论问题、教学重点和难点、</w:t>
      </w:r>
      <w:r>
        <w:rPr>
          <w:spacing w:val="-50"/>
        </w:rPr>
        <w:t xml:space="preserve"> </w:t>
      </w:r>
      <w:r>
        <w:rPr>
          <w:spacing w:val="17"/>
        </w:rPr>
        <w:t>自学问题、参考文献等内</w:t>
      </w:r>
      <w:r>
        <w:t xml:space="preserve"> </w:t>
      </w:r>
      <w:r>
        <w:rPr>
          <w:spacing w:val="-5"/>
        </w:rPr>
        <w:t>容。</w:t>
      </w:r>
    </w:p>
    <w:p w14:paraId="4AE1712A">
      <w:pPr>
        <w:pStyle w:val="2"/>
        <w:spacing w:before="125" w:line="277" w:lineRule="auto"/>
        <w:ind w:left="23" w:right="16" w:firstLine="636"/>
      </w:pPr>
      <w:r>
        <w:rPr>
          <w:spacing w:val="12"/>
        </w:rPr>
        <w:t>（</w:t>
      </w:r>
      <w:r>
        <w:rPr>
          <w:spacing w:val="-76"/>
        </w:rPr>
        <w:t xml:space="preserve"> </w:t>
      </w:r>
      <w:r>
        <w:rPr>
          <w:spacing w:val="12"/>
        </w:rPr>
        <w:t>6）建议根据教学设计制作课件，配合教学讨论，呈</w:t>
      </w:r>
      <w:r>
        <w:t xml:space="preserve"> </w:t>
      </w:r>
      <w:r>
        <w:rPr>
          <w:spacing w:val="21"/>
        </w:rPr>
        <w:t>现临床资料和教学信息，如病例概括、辅助检查信息、思</w:t>
      </w:r>
      <w:r>
        <w:rPr>
          <w:spacing w:val="14"/>
        </w:rPr>
        <w:t xml:space="preserve"> </w:t>
      </w:r>
      <w:r>
        <w:rPr>
          <w:spacing w:val="18"/>
        </w:rPr>
        <w:t>维导图、影像图片、知识精要、</w:t>
      </w:r>
      <w:r>
        <w:rPr>
          <w:spacing w:val="-66"/>
        </w:rPr>
        <w:t xml:space="preserve"> </w:t>
      </w:r>
      <w:r>
        <w:rPr>
          <w:spacing w:val="18"/>
        </w:rPr>
        <w:t>图片表格、英语词汇、参</w:t>
      </w:r>
      <w:r>
        <w:t xml:space="preserve"> </w:t>
      </w:r>
      <w:r>
        <w:rPr>
          <w:spacing w:val="5"/>
        </w:rPr>
        <w:t>考资料、</w:t>
      </w:r>
      <w:r>
        <w:rPr>
          <w:spacing w:val="-72"/>
        </w:rPr>
        <w:t xml:space="preserve"> </w:t>
      </w:r>
      <w:r>
        <w:rPr>
          <w:spacing w:val="5"/>
        </w:rPr>
        <w:t>自学问题等，但幻灯片数量不宜过多。</w:t>
      </w:r>
    </w:p>
    <w:p w14:paraId="6229F3E3">
      <w:pPr>
        <w:spacing w:before="127" w:line="231" w:lineRule="auto"/>
        <w:ind w:left="18"/>
        <w:outlineLvl w:val="1"/>
        <w:rPr>
          <w:rFonts w:ascii="楷体" w:hAnsi="楷体" w:eastAsia="楷体" w:cs="楷体"/>
          <w:sz w:val="31"/>
          <w:szCs w:val="31"/>
        </w:rPr>
      </w:pPr>
      <w:r>
        <w:rPr>
          <w:rFonts w:ascii="楷体" w:hAnsi="楷体" w:eastAsia="楷体" w:cs="楷体"/>
          <w:b/>
          <w:bCs/>
          <w:spacing w:val="5"/>
          <w:sz w:val="31"/>
          <w:szCs w:val="31"/>
        </w:rPr>
        <w:t>4.3</w:t>
      </w:r>
      <w:r>
        <w:rPr>
          <w:rFonts w:ascii="楷体" w:hAnsi="楷体" w:eastAsia="楷体" w:cs="楷体"/>
          <w:spacing w:val="5"/>
          <w:sz w:val="31"/>
          <w:szCs w:val="31"/>
        </w:rPr>
        <w:t xml:space="preserve">  </w:t>
      </w:r>
      <w:r>
        <w:rPr>
          <w:rFonts w:ascii="楷体" w:hAnsi="楷体" w:eastAsia="楷体" w:cs="楷体"/>
          <w:b/>
          <w:bCs/>
          <w:spacing w:val="5"/>
          <w:sz w:val="31"/>
          <w:szCs w:val="31"/>
        </w:rPr>
        <w:t>住院医师的准备</w:t>
      </w:r>
    </w:p>
    <w:p w14:paraId="69E3328F">
      <w:pPr>
        <w:pStyle w:val="2"/>
        <w:spacing w:before="108" w:line="272" w:lineRule="auto"/>
        <w:ind w:left="31" w:right="16" w:firstLine="629"/>
      </w:pPr>
      <w:r>
        <w:rPr>
          <w:spacing w:val="8"/>
        </w:rPr>
        <w:t>（</w:t>
      </w:r>
      <w:r>
        <w:rPr>
          <w:spacing w:val="-74"/>
        </w:rPr>
        <w:t xml:space="preserve"> </w:t>
      </w:r>
      <w:r>
        <w:rPr>
          <w:spacing w:val="8"/>
        </w:rPr>
        <w:t>1</w:t>
      </w:r>
      <w:r>
        <w:rPr>
          <w:spacing w:val="-59"/>
        </w:rPr>
        <w:t xml:space="preserve"> </w:t>
      </w:r>
      <w:r>
        <w:rPr>
          <w:spacing w:val="8"/>
        </w:rPr>
        <w:t>）主管住院医师负责准备完整翔实的病历资料</w:t>
      </w:r>
      <w:r>
        <w:rPr>
          <w:spacing w:val="7"/>
        </w:rPr>
        <w:t>，包</w:t>
      </w:r>
      <w:r>
        <w:t xml:space="preserve"> </w:t>
      </w:r>
      <w:r>
        <w:rPr>
          <w:spacing w:val="21"/>
        </w:rPr>
        <w:t>括病史、体格检查、辅助检查、诊疗过程、手术方式等。</w:t>
      </w:r>
      <w:r>
        <w:rPr>
          <w:spacing w:val="6"/>
        </w:rPr>
        <w:t xml:space="preserve"> </w:t>
      </w:r>
      <w:r>
        <w:rPr>
          <w:spacing w:val="8"/>
        </w:rPr>
        <w:t>参与教学查房的其他住院医师亦应了解相应情况。</w:t>
      </w:r>
    </w:p>
    <w:p w14:paraId="66AD8FE4">
      <w:pPr>
        <w:pStyle w:val="2"/>
        <w:spacing w:before="125" w:line="278" w:lineRule="auto"/>
        <w:ind w:left="27" w:right="16" w:firstLine="632"/>
        <w:rPr>
          <w:spacing w:val="8"/>
        </w:rPr>
      </w:pPr>
      <w:r>
        <w:rPr>
          <w:spacing w:val="12"/>
        </w:rPr>
        <w:t>（</w:t>
      </w:r>
      <w:r>
        <w:rPr>
          <w:spacing w:val="-76"/>
        </w:rPr>
        <w:t xml:space="preserve"> </w:t>
      </w:r>
      <w:r>
        <w:rPr>
          <w:spacing w:val="12"/>
        </w:rPr>
        <w:t>2）</w:t>
      </w:r>
      <w:r>
        <w:rPr>
          <w:spacing w:val="8"/>
        </w:rPr>
        <w:t xml:space="preserve">住院医师应对教学查房病例进行认真分析，总结 病例特点，完成评估内容。根据评估结果及手术方式，提 出麻醉方式选择及围术期麻醉管理要点，制订麻醉预案， </w:t>
      </w:r>
      <w:r>
        <w:rPr>
          <w:spacing w:val="8"/>
        </w:rPr>
        <w:t>初步完成术前访</w:t>
      </w:r>
      <w:r>
        <w:rPr>
          <w:spacing w:val="8"/>
        </w:rPr>
        <w:t>视麻醉</w:t>
      </w:r>
      <w:r>
        <w:rPr>
          <w:spacing w:val="8"/>
        </w:rPr>
        <w:t>相关医疗文书。</w:t>
      </w:r>
    </w:p>
    <w:p w14:paraId="42226D01">
      <w:pPr>
        <w:pStyle w:val="2"/>
        <w:spacing w:before="127" w:line="278" w:lineRule="auto"/>
        <w:ind w:left="28" w:right="16" w:firstLine="631"/>
        <w:rPr>
          <w:spacing w:val="8"/>
        </w:rPr>
      </w:pPr>
      <w:r>
        <w:rPr>
          <w:spacing w:val="11"/>
        </w:rPr>
        <w:t>（</w:t>
      </w:r>
      <w:r>
        <w:rPr>
          <w:spacing w:val="-52"/>
        </w:rPr>
        <w:t xml:space="preserve"> </w:t>
      </w:r>
      <w:r>
        <w:rPr>
          <w:spacing w:val="11"/>
        </w:rPr>
        <w:t>3）</w:t>
      </w:r>
      <w:r>
        <w:rPr>
          <w:spacing w:val="8"/>
        </w:rPr>
        <w:t>根据患者的病情特点，思考需要讨论的问题，如 麻醉</w:t>
      </w:r>
      <w:r>
        <w:rPr>
          <w:spacing w:val="8"/>
        </w:rPr>
        <w:t>方式、手术体位、手术和麻醉</w:t>
      </w:r>
      <w:r>
        <w:rPr>
          <w:spacing w:val="8"/>
        </w:rPr>
        <w:t>对患者病理生理的影响</w:t>
      </w:r>
      <w:r>
        <w:rPr>
          <w:spacing w:val="8"/>
        </w:rPr>
        <w:t>、 围术期可能发生的情况等，进行文献检索和阅读，并思考 处理方案。</w:t>
      </w:r>
    </w:p>
    <w:p w14:paraId="551A9CB7">
      <w:pPr>
        <w:spacing w:before="122" w:line="231" w:lineRule="auto"/>
        <w:ind w:left="18"/>
        <w:outlineLvl w:val="1"/>
        <w:rPr>
          <w:rFonts w:ascii="楷体" w:hAnsi="楷体" w:eastAsia="楷体" w:cs="楷体"/>
          <w:sz w:val="31"/>
          <w:szCs w:val="31"/>
        </w:rPr>
      </w:pPr>
      <w:r>
        <w:rPr>
          <w:rFonts w:ascii="楷体" w:hAnsi="楷体" w:eastAsia="楷体" w:cs="楷体"/>
          <w:b/>
          <w:bCs/>
          <w:spacing w:val="2"/>
          <w:sz w:val="31"/>
          <w:szCs w:val="31"/>
        </w:rPr>
        <w:t>4.4</w:t>
      </w:r>
      <w:r>
        <w:rPr>
          <w:rFonts w:ascii="楷体" w:hAnsi="楷体" w:eastAsia="楷体" w:cs="楷体"/>
          <w:spacing w:val="15"/>
          <w:sz w:val="31"/>
          <w:szCs w:val="31"/>
        </w:rPr>
        <w:t xml:space="preserve">  </w:t>
      </w:r>
      <w:r>
        <w:rPr>
          <w:rFonts w:ascii="楷体" w:hAnsi="楷体" w:eastAsia="楷体" w:cs="楷体"/>
          <w:b/>
          <w:bCs/>
          <w:spacing w:val="2"/>
          <w:sz w:val="31"/>
          <w:szCs w:val="31"/>
        </w:rPr>
        <w:t>其他准备</w:t>
      </w:r>
    </w:p>
    <w:p w14:paraId="532DF080">
      <w:pPr>
        <w:pStyle w:val="2"/>
        <w:spacing w:before="127" w:line="278" w:lineRule="auto"/>
        <w:ind w:left="28" w:right="16" w:firstLine="631"/>
        <w:rPr>
          <w:spacing w:val="8"/>
        </w:rPr>
      </w:pPr>
      <w:r>
        <w:rPr>
          <w:spacing w:val="12"/>
        </w:rPr>
        <w:t>（</w:t>
      </w:r>
      <w:r>
        <w:rPr>
          <w:spacing w:val="-74"/>
        </w:rPr>
        <w:t xml:space="preserve"> </w:t>
      </w:r>
      <w:r>
        <w:rPr>
          <w:spacing w:val="12"/>
        </w:rPr>
        <w:t>1）</w:t>
      </w:r>
      <w:r>
        <w:rPr>
          <w:spacing w:val="8"/>
        </w:rPr>
        <w:t xml:space="preserve">地点准备：麻醉科专业教学查房地点包括示教室 </w:t>
      </w:r>
      <w:r>
        <w:rPr>
          <w:spacing w:val="8"/>
        </w:rPr>
        <w:t>和床旁。根据查房要求、教学人数，床旁教学可选择病房、 手术间、术后恢复室或麻醉后监护病房等围术期患者实际 所处地点。床旁查房地点须配备一定的私密空间，避免无</w:t>
      </w:r>
    </w:p>
    <w:p w14:paraId="24C77F58">
      <w:pPr>
        <w:pStyle w:val="2"/>
        <w:spacing w:before="127" w:line="278" w:lineRule="auto"/>
        <w:ind w:left="28" w:right="16" w:firstLine="631"/>
        <w:rPr>
          <w:spacing w:val="8"/>
        </w:rPr>
        <w:sectPr>
          <w:footerReference r:id="rId7" w:type="default"/>
          <w:pgSz w:w="11900" w:h="16840"/>
          <w:pgMar w:top="841" w:right="1785" w:bottom="1194" w:left="1785" w:header="0" w:footer="1016" w:gutter="0"/>
          <w:cols w:space="720" w:num="1"/>
        </w:sectPr>
      </w:pPr>
    </w:p>
    <w:p w14:paraId="6EB7F81B">
      <w:pPr>
        <w:pStyle w:val="2"/>
        <w:spacing w:before="101" w:line="220" w:lineRule="auto"/>
        <w:ind w:left="41"/>
      </w:pPr>
      <w:r>
        <w:rPr>
          <w:spacing w:val="3"/>
        </w:rPr>
        <w:t>关人员在场。</w:t>
      </w:r>
    </w:p>
    <w:p w14:paraId="36F1BAA1">
      <w:pPr>
        <w:pStyle w:val="2"/>
        <w:spacing w:before="132" w:line="277" w:lineRule="auto"/>
        <w:ind w:left="27" w:right="184" w:firstLine="632"/>
      </w:pPr>
      <w:r>
        <w:rPr>
          <w:spacing w:val="12"/>
        </w:rPr>
        <w:t>（</w:t>
      </w:r>
      <w:r>
        <w:rPr>
          <w:spacing w:val="-76"/>
        </w:rPr>
        <w:t xml:space="preserve"> </w:t>
      </w:r>
      <w:r>
        <w:rPr>
          <w:spacing w:val="12"/>
        </w:rPr>
        <w:t>2）应提前准备相应的教学设备，如幻灯与影像资料</w:t>
      </w:r>
      <w:r>
        <w:t xml:space="preserve"> </w:t>
      </w:r>
      <w:r>
        <w:rPr>
          <w:spacing w:val="5"/>
        </w:rPr>
        <w:t>播放设备、黑（白）板、必要的教具和模型等</w:t>
      </w:r>
      <w:r>
        <w:rPr>
          <w:spacing w:val="4"/>
        </w:rPr>
        <w:t>，如有条件，</w:t>
      </w:r>
      <w:r>
        <w:t xml:space="preserve"> </w:t>
      </w:r>
      <w:r>
        <w:rPr>
          <w:spacing w:val="18"/>
        </w:rPr>
        <w:t>可在示教室内接入电子病历等信息系统，</w:t>
      </w:r>
      <w:r>
        <w:rPr>
          <w:spacing w:val="-70"/>
        </w:rPr>
        <w:t xml:space="preserve"> </w:t>
      </w:r>
      <w:r>
        <w:rPr>
          <w:spacing w:val="18"/>
        </w:rPr>
        <w:t>以便实时查阅临</w:t>
      </w:r>
      <w:r>
        <w:t xml:space="preserve"> </w:t>
      </w:r>
      <w:r>
        <w:rPr>
          <w:spacing w:val="4"/>
        </w:rPr>
        <w:t>床资料。</w:t>
      </w:r>
    </w:p>
    <w:p w14:paraId="4D8B43DC">
      <w:pPr>
        <w:pStyle w:val="2"/>
        <w:spacing w:before="131" w:line="272" w:lineRule="auto"/>
        <w:ind w:left="24" w:right="184" w:firstLine="635"/>
      </w:pPr>
      <w:r>
        <w:rPr>
          <w:spacing w:val="11"/>
        </w:rPr>
        <w:t>（</w:t>
      </w:r>
      <w:r>
        <w:rPr>
          <w:spacing w:val="-52"/>
        </w:rPr>
        <w:t xml:space="preserve"> </w:t>
      </w:r>
      <w:r>
        <w:rPr>
          <w:spacing w:val="11"/>
        </w:rPr>
        <w:t>3）根据教学目标准备查房所需仪器设备，包括监护</w:t>
      </w:r>
      <w:r>
        <w:t xml:space="preserve"> </w:t>
      </w:r>
      <w:r>
        <w:rPr>
          <w:spacing w:val="21"/>
        </w:rPr>
        <w:t>仪、超声仪、听诊器、消毒液、消毒物品、手套、手电筒</w:t>
      </w:r>
      <w:r>
        <w:rPr>
          <w:spacing w:val="12"/>
        </w:rPr>
        <w:t xml:space="preserve"> </w:t>
      </w:r>
      <w:r>
        <w:rPr>
          <w:spacing w:val="-1"/>
        </w:rPr>
        <w:t>等。</w:t>
      </w:r>
    </w:p>
    <w:p w14:paraId="62DA31DE">
      <w:pPr>
        <w:spacing w:before="119" w:line="227" w:lineRule="auto"/>
        <w:ind w:left="20"/>
        <w:outlineLvl w:val="1"/>
        <w:rPr>
          <w:rFonts w:ascii="黑体" w:hAnsi="黑体" w:eastAsia="黑体" w:cs="黑体"/>
          <w:sz w:val="31"/>
          <w:szCs w:val="31"/>
        </w:rPr>
      </w:pPr>
      <w:r>
        <w:rPr>
          <w:rFonts w:ascii="黑体" w:hAnsi="黑体" w:eastAsia="黑体" w:cs="黑体"/>
          <w:b/>
          <w:bCs/>
          <w:spacing w:val="-4"/>
          <w:sz w:val="31"/>
          <w:szCs w:val="31"/>
        </w:rPr>
        <w:t>5</w:t>
      </w:r>
      <w:r>
        <w:rPr>
          <w:rFonts w:ascii="黑体" w:hAnsi="黑体" w:eastAsia="黑体" w:cs="黑体"/>
          <w:spacing w:val="17"/>
          <w:sz w:val="31"/>
          <w:szCs w:val="31"/>
        </w:rPr>
        <w:t xml:space="preserve">  </w:t>
      </w:r>
      <w:r>
        <w:rPr>
          <w:rFonts w:ascii="黑体" w:hAnsi="黑体" w:eastAsia="黑体" w:cs="黑体"/>
          <w:b/>
          <w:bCs/>
          <w:spacing w:val="-4"/>
          <w:sz w:val="31"/>
          <w:szCs w:val="31"/>
        </w:rPr>
        <w:t>实施</w:t>
      </w:r>
    </w:p>
    <w:p w14:paraId="1423CA30">
      <w:pPr>
        <w:spacing w:before="33" w:line="228" w:lineRule="auto"/>
        <w:ind w:left="20"/>
        <w:outlineLvl w:val="1"/>
        <w:rPr>
          <w:rFonts w:ascii="楷体" w:hAnsi="楷体" w:eastAsia="楷体" w:cs="楷体"/>
          <w:sz w:val="31"/>
          <w:szCs w:val="31"/>
        </w:rPr>
      </w:pPr>
      <w:r>
        <w:rPr>
          <w:rFonts w:ascii="楷体" w:hAnsi="楷体" w:eastAsia="楷体" w:cs="楷体"/>
          <w:b/>
          <w:bCs/>
          <w:spacing w:val="6"/>
          <w:sz w:val="31"/>
          <w:szCs w:val="31"/>
        </w:rPr>
        <w:t>5.1</w:t>
      </w:r>
      <w:r>
        <w:rPr>
          <w:rFonts w:ascii="楷体" w:hAnsi="楷体" w:eastAsia="楷体" w:cs="楷体"/>
          <w:spacing w:val="12"/>
          <w:sz w:val="31"/>
          <w:szCs w:val="31"/>
        </w:rPr>
        <w:t xml:space="preserve">  </w:t>
      </w:r>
      <w:r>
        <w:rPr>
          <w:rFonts w:ascii="楷体" w:hAnsi="楷体" w:eastAsia="楷体" w:cs="楷体"/>
          <w:b/>
          <w:bCs/>
          <w:spacing w:val="6"/>
          <w:sz w:val="31"/>
          <w:szCs w:val="31"/>
        </w:rPr>
        <w:t>麻醉科专业教学查房实施的总体介绍</w:t>
      </w:r>
    </w:p>
    <w:p w14:paraId="288E3A4A">
      <w:pPr>
        <w:pStyle w:val="2"/>
        <w:spacing w:before="119" w:line="287" w:lineRule="auto"/>
        <w:ind w:left="38" w:right="184" w:firstLine="629"/>
        <w:jc w:val="both"/>
      </w:pPr>
      <w:r>
        <w:rPr>
          <w:spacing w:val="10"/>
        </w:rPr>
        <w:t>教学查房实施过程分为</w:t>
      </w:r>
      <w:r>
        <w:rPr>
          <w:spacing w:val="-29"/>
        </w:rPr>
        <w:t xml:space="preserve"> </w:t>
      </w:r>
      <w:r>
        <w:rPr>
          <w:spacing w:val="10"/>
        </w:rPr>
        <w:t>3</w:t>
      </w:r>
      <w:r>
        <w:rPr>
          <w:spacing w:val="-50"/>
        </w:rPr>
        <w:t xml:space="preserve"> </w:t>
      </w:r>
      <w:r>
        <w:rPr>
          <w:spacing w:val="10"/>
        </w:rPr>
        <w:t>个阶段，分别在</w:t>
      </w:r>
      <w:r>
        <w:rPr>
          <w:spacing w:val="-95"/>
        </w:rPr>
        <w:t xml:space="preserve"> </w:t>
      </w:r>
      <w:r>
        <w:rPr>
          <w:spacing w:val="10"/>
        </w:rPr>
        <w:t>“</w:t>
      </w:r>
      <w:r>
        <w:rPr>
          <w:spacing w:val="-115"/>
        </w:rPr>
        <w:t xml:space="preserve"> </w:t>
      </w:r>
      <w:r>
        <w:rPr>
          <w:spacing w:val="9"/>
        </w:rPr>
        <w:t>示教室</w:t>
      </w:r>
      <w:r>
        <w:rPr>
          <w:rFonts w:ascii="Arial" w:hAnsi="Arial" w:eastAsia="Arial" w:cs="Arial"/>
          <w:spacing w:val="9"/>
        </w:rPr>
        <w:t>-</w:t>
      </w:r>
      <w:r>
        <w:rPr>
          <w:spacing w:val="9"/>
        </w:rPr>
        <w:t>床</w:t>
      </w:r>
      <w:r>
        <w:t xml:space="preserve"> </w:t>
      </w:r>
      <w:r>
        <w:rPr>
          <w:spacing w:val="13"/>
        </w:rPr>
        <w:t>旁</w:t>
      </w:r>
      <w:r>
        <w:rPr>
          <w:rFonts w:ascii="Arial" w:hAnsi="Arial" w:eastAsia="Arial" w:cs="Arial"/>
          <w:spacing w:val="13"/>
        </w:rPr>
        <w:t>-</w:t>
      </w:r>
      <w:r>
        <w:rPr>
          <w:spacing w:val="13"/>
        </w:rPr>
        <w:t>示教室”完成，</w:t>
      </w:r>
      <w:r>
        <w:rPr>
          <w:spacing w:val="-72"/>
        </w:rPr>
        <w:t xml:space="preserve"> </w:t>
      </w:r>
      <w:r>
        <w:rPr>
          <w:spacing w:val="13"/>
        </w:rPr>
        <w:t>即教学查房三部曲，原则上时间控制在</w:t>
      </w:r>
      <w:r>
        <w:t xml:space="preserve"> </w:t>
      </w:r>
      <w:r>
        <w:rPr>
          <w:spacing w:val="1"/>
        </w:rPr>
        <w:t>40～60</w:t>
      </w:r>
      <w:r>
        <w:rPr>
          <w:spacing w:val="-61"/>
        </w:rPr>
        <w:t xml:space="preserve"> </w:t>
      </w:r>
      <w:r>
        <w:rPr>
          <w:spacing w:val="1"/>
        </w:rPr>
        <w:t>分钟。</w:t>
      </w:r>
    </w:p>
    <w:p w14:paraId="20F3EA16">
      <w:pPr>
        <w:pStyle w:val="2"/>
        <w:spacing w:before="45" w:line="222" w:lineRule="auto"/>
        <w:ind w:left="660"/>
      </w:pPr>
      <w:r>
        <w:t>（</w:t>
      </w:r>
      <w:r>
        <w:rPr>
          <w:spacing w:val="-79"/>
        </w:rPr>
        <w:t xml:space="preserve"> </w:t>
      </w:r>
      <w:r>
        <w:t>1）查房准备阶段（</w:t>
      </w:r>
      <w:r>
        <w:rPr>
          <w:spacing w:val="-76"/>
        </w:rPr>
        <w:t xml:space="preserve"> </w:t>
      </w:r>
      <w:r>
        <w:t>示教室</w:t>
      </w:r>
      <w:r>
        <w:rPr>
          <w:spacing w:val="6"/>
        </w:rPr>
        <w:t>），</w:t>
      </w:r>
      <w:r>
        <w:t>5～10</w:t>
      </w:r>
      <w:r>
        <w:rPr>
          <w:spacing w:val="-60"/>
        </w:rPr>
        <w:t xml:space="preserve"> </w:t>
      </w:r>
      <w:r>
        <w:t>分钟。</w:t>
      </w:r>
    </w:p>
    <w:p w14:paraId="3376B851">
      <w:pPr>
        <w:pStyle w:val="2"/>
        <w:spacing w:before="128" w:line="258" w:lineRule="auto"/>
        <w:ind w:left="41" w:firstLine="619"/>
      </w:pPr>
      <w:r>
        <w:rPr>
          <w:spacing w:val="-1"/>
        </w:rPr>
        <w:t>（</w:t>
      </w:r>
      <w:r>
        <w:rPr>
          <w:spacing w:val="-86"/>
        </w:rPr>
        <w:t xml:space="preserve"> </w:t>
      </w:r>
      <w:r>
        <w:rPr>
          <w:spacing w:val="-1"/>
        </w:rPr>
        <w:t>2）临床信息采集和补充阶段（床旁</w:t>
      </w:r>
      <w:r>
        <w:rPr>
          <w:spacing w:val="9"/>
        </w:rPr>
        <w:t>），</w:t>
      </w:r>
      <w:r>
        <w:rPr>
          <w:spacing w:val="-1"/>
        </w:rPr>
        <w:t>10～</w:t>
      </w:r>
      <w:r>
        <w:rPr>
          <w:spacing w:val="-71"/>
        </w:rPr>
        <w:t xml:space="preserve"> </w:t>
      </w:r>
      <w:r>
        <w:rPr>
          <w:spacing w:val="-1"/>
        </w:rPr>
        <w:t>15</w:t>
      </w:r>
      <w:r>
        <w:rPr>
          <w:spacing w:val="-59"/>
        </w:rPr>
        <w:t xml:space="preserve"> </w:t>
      </w:r>
      <w:r>
        <w:rPr>
          <w:spacing w:val="-1"/>
        </w:rPr>
        <w:t>分钟，</w:t>
      </w:r>
      <w:r>
        <w:t xml:space="preserve"> </w:t>
      </w:r>
      <w:r>
        <w:rPr>
          <w:spacing w:val="8"/>
        </w:rPr>
        <w:t>主要包括患者临床信息收集、体格检查指导与医患交流。</w:t>
      </w:r>
    </w:p>
    <w:p w14:paraId="32229F00">
      <w:pPr>
        <w:pStyle w:val="2"/>
        <w:spacing w:before="127" w:line="260" w:lineRule="auto"/>
        <w:ind w:left="31" w:right="187" w:firstLine="629"/>
      </w:pPr>
      <w:r>
        <w:t>（</w:t>
      </w:r>
      <w:r>
        <w:rPr>
          <w:spacing w:val="-71"/>
        </w:rPr>
        <w:t xml:space="preserve"> </w:t>
      </w:r>
      <w:r>
        <w:t>3）病例讨论阶段（</w:t>
      </w:r>
      <w:r>
        <w:rPr>
          <w:spacing w:val="-76"/>
        </w:rPr>
        <w:t xml:space="preserve"> </w:t>
      </w:r>
      <w:r>
        <w:t>示教室</w:t>
      </w:r>
      <w:r>
        <w:rPr>
          <w:spacing w:val="6"/>
        </w:rPr>
        <w:t>），</w:t>
      </w:r>
      <w:r>
        <w:t>25～</w:t>
      </w:r>
      <w:r>
        <w:rPr>
          <w:spacing w:val="-61"/>
        </w:rPr>
        <w:t xml:space="preserve"> </w:t>
      </w:r>
      <w:r>
        <w:t>35</w:t>
      </w:r>
      <w:r>
        <w:rPr>
          <w:spacing w:val="-59"/>
        </w:rPr>
        <w:t xml:space="preserve"> </w:t>
      </w:r>
      <w:r>
        <w:t xml:space="preserve">分钟，主要包 </w:t>
      </w:r>
      <w:r>
        <w:rPr>
          <w:spacing w:val="7"/>
        </w:rPr>
        <w:t>括病例讨论与教学总结。</w:t>
      </w:r>
    </w:p>
    <w:p w14:paraId="660D906F">
      <w:pPr>
        <w:spacing w:before="123" w:line="230" w:lineRule="auto"/>
        <w:ind w:left="20"/>
        <w:outlineLvl w:val="1"/>
        <w:rPr>
          <w:rFonts w:ascii="楷体" w:hAnsi="楷体" w:eastAsia="楷体" w:cs="楷体"/>
          <w:sz w:val="31"/>
          <w:szCs w:val="31"/>
        </w:rPr>
      </w:pPr>
      <w:r>
        <w:rPr>
          <w:rFonts w:ascii="楷体" w:hAnsi="楷体" w:eastAsia="楷体" w:cs="楷体"/>
          <w:b/>
          <w:bCs/>
          <w:spacing w:val="5"/>
          <w:sz w:val="31"/>
          <w:szCs w:val="31"/>
        </w:rPr>
        <w:t>5.2</w:t>
      </w:r>
      <w:r>
        <w:rPr>
          <w:rFonts w:ascii="楷体" w:hAnsi="楷体" w:eastAsia="楷体" w:cs="楷体"/>
          <w:spacing w:val="5"/>
          <w:sz w:val="31"/>
          <w:szCs w:val="31"/>
        </w:rPr>
        <w:t xml:space="preserve">  </w:t>
      </w:r>
      <w:r>
        <w:rPr>
          <w:rFonts w:ascii="楷体" w:hAnsi="楷体" w:eastAsia="楷体" w:cs="楷体"/>
          <w:b/>
          <w:bCs/>
          <w:spacing w:val="5"/>
          <w:sz w:val="31"/>
          <w:szCs w:val="31"/>
        </w:rPr>
        <w:t>教学查房实施过程</w:t>
      </w:r>
    </w:p>
    <w:p w14:paraId="23D0E791">
      <w:pPr>
        <w:spacing w:before="111" w:line="232" w:lineRule="auto"/>
        <w:ind w:left="20"/>
        <w:outlineLvl w:val="2"/>
        <w:rPr>
          <w:rFonts w:ascii="楷体" w:hAnsi="楷体" w:eastAsia="楷体" w:cs="楷体"/>
          <w:sz w:val="31"/>
          <w:szCs w:val="31"/>
        </w:rPr>
      </w:pPr>
      <w:r>
        <w:rPr>
          <w:rFonts w:ascii="楷体" w:hAnsi="楷体" w:eastAsia="楷体" w:cs="楷体"/>
          <w:b/>
          <w:bCs/>
          <w:spacing w:val="5"/>
          <w:sz w:val="31"/>
          <w:szCs w:val="31"/>
        </w:rPr>
        <w:t>5.2.1</w:t>
      </w:r>
      <w:r>
        <w:rPr>
          <w:rFonts w:ascii="楷体" w:hAnsi="楷体" w:eastAsia="楷体" w:cs="楷体"/>
          <w:spacing w:val="5"/>
          <w:sz w:val="31"/>
          <w:szCs w:val="31"/>
        </w:rPr>
        <w:t xml:space="preserve">  </w:t>
      </w:r>
      <w:r>
        <w:rPr>
          <w:rFonts w:ascii="楷体" w:hAnsi="楷体" w:eastAsia="楷体" w:cs="楷体"/>
          <w:b/>
          <w:bCs/>
          <w:spacing w:val="5"/>
          <w:sz w:val="31"/>
          <w:szCs w:val="31"/>
        </w:rPr>
        <w:t>查房准备阶段（示教室）</w:t>
      </w:r>
    </w:p>
    <w:p w14:paraId="23DE7807">
      <w:pPr>
        <w:pStyle w:val="2"/>
        <w:spacing w:before="110" w:line="222" w:lineRule="auto"/>
        <w:ind w:left="660"/>
      </w:pPr>
      <w:r>
        <w:rPr>
          <w:spacing w:val="3"/>
        </w:rPr>
        <w:t>（</w:t>
      </w:r>
      <w:r>
        <w:rPr>
          <w:spacing w:val="-65"/>
        </w:rPr>
        <w:t xml:space="preserve"> </w:t>
      </w:r>
      <w:r>
        <w:rPr>
          <w:spacing w:val="3"/>
        </w:rPr>
        <w:t>1）教学查房参与成员相互介绍。</w:t>
      </w:r>
    </w:p>
    <w:p w14:paraId="128CFD41">
      <w:pPr>
        <w:pStyle w:val="2"/>
        <w:spacing w:before="124" w:line="222" w:lineRule="auto"/>
        <w:ind w:left="660"/>
      </w:pPr>
      <w:r>
        <w:rPr>
          <w:spacing w:val="5"/>
        </w:rPr>
        <w:t>（</w:t>
      </w:r>
      <w:r>
        <w:rPr>
          <w:spacing w:val="-69"/>
        </w:rPr>
        <w:t xml:space="preserve"> </w:t>
      </w:r>
      <w:r>
        <w:rPr>
          <w:spacing w:val="5"/>
        </w:rPr>
        <w:t>2）介绍教学查房患者的基本信息与查房目标。</w:t>
      </w:r>
    </w:p>
    <w:p w14:paraId="4061ED21">
      <w:pPr>
        <w:pStyle w:val="2"/>
        <w:spacing w:before="130" w:line="281" w:lineRule="auto"/>
        <w:ind w:left="27" w:right="323" w:firstLine="632"/>
      </w:pPr>
      <w:r>
        <w:rPr>
          <w:spacing w:val="4"/>
        </w:rPr>
        <w:t>（</w:t>
      </w:r>
      <w:r>
        <w:rPr>
          <w:spacing w:val="-74"/>
        </w:rPr>
        <w:t xml:space="preserve"> </w:t>
      </w:r>
      <w:r>
        <w:rPr>
          <w:spacing w:val="4"/>
        </w:rPr>
        <w:t>3）宣布本次教学查房过程中的注意事项：</w:t>
      </w:r>
      <w:r>
        <w:rPr>
          <w:spacing w:val="-104"/>
        </w:rPr>
        <w:t xml:space="preserve"> </w:t>
      </w:r>
      <w:r>
        <w:rPr>
          <w:spacing w:val="4"/>
        </w:rPr>
        <w:t>①整个教</w:t>
      </w:r>
      <w:r>
        <w:t xml:space="preserve"> </w:t>
      </w:r>
      <w:r>
        <w:rPr>
          <w:spacing w:val="7"/>
        </w:rPr>
        <w:t>学查房的流程与大致时间分配；</w:t>
      </w:r>
      <w:r>
        <w:rPr>
          <w:spacing w:val="-95"/>
        </w:rPr>
        <w:t xml:space="preserve"> </w:t>
      </w:r>
      <w:r>
        <w:rPr>
          <w:spacing w:val="7"/>
        </w:rPr>
        <w:t>②查房中住院医师角色分</w:t>
      </w:r>
      <w:r>
        <w:t xml:space="preserve">  </w:t>
      </w:r>
      <w:r>
        <w:rPr>
          <w:spacing w:val="-30"/>
        </w:rPr>
        <w:t>配；③参与病例讨论的发言规则（也可在讨论环节前宣布</w:t>
      </w:r>
      <w:r>
        <w:rPr>
          <w:spacing w:val="-12"/>
        </w:rPr>
        <w:t>）；</w:t>
      </w:r>
      <w:r>
        <w:rPr>
          <w:spacing w:val="-46"/>
        </w:rPr>
        <w:t xml:space="preserve"> </w:t>
      </w:r>
      <w:r>
        <w:rPr>
          <w:spacing w:val="-30"/>
        </w:rPr>
        <w:t>④</w:t>
      </w:r>
      <w:r>
        <w:t xml:space="preserve">  </w:t>
      </w:r>
      <w:r>
        <w:rPr>
          <w:spacing w:val="7"/>
        </w:rPr>
        <w:t>查房中关注院感防护要求、进出查房地点与站位要</w:t>
      </w:r>
      <w:r>
        <w:rPr>
          <w:spacing w:val="6"/>
        </w:rPr>
        <w:t>求，</w:t>
      </w:r>
      <w:r>
        <w:rPr>
          <w:spacing w:val="-92"/>
        </w:rPr>
        <w:t xml:space="preserve"> </w:t>
      </w:r>
      <w:r>
        <w:rPr>
          <w:spacing w:val="6"/>
        </w:rPr>
        <w:t>医</w:t>
      </w:r>
      <w:r>
        <w:t xml:space="preserve">  </w:t>
      </w:r>
      <w:r>
        <w:rPr>
          <w:spacing w:val="8"/>
        </w:rPr>
        <w:t>患沟通、人文关怀与隐私保护等。</w:t>
      </w:r>
    </w:p>
    <w:p w14:paraId="39F51D66">
      <w:pPr>
        <w:spacing w:line="281" w:lineRule="auto"/>
        <w:sectPr>
          <w:footerReference r:id="rId8" w:type="default"/>
          <w:pgSz w:w="11900" w:h="16840"/>
          <w:pgMar w:top="841" w:right="1616" w:bottom="1194" w:left="1785" w:header="0" w:footer="1016" w:gutter="0"/>
          <w:cols w:space="720" w:num="1"/>
        </w:sectPr>
      </w:pPr>
    </w:p>
    <w:p w14:paraId="32FF1783">
      <w:pPr>
        <w:spacing w:before="101" w:line="231" w:lineRule="auto"/>
        <w:ind w:left="20"/>
        <w:outlineLvl w:val="2"/>
        <w:rPr>
          <w:rFonts w:ascii="楷体" w:hAnsi="楷体" w:eastAsia="楷体" w:cs="楷体"/>
          <w:sz w:val="31"/>
          <w:szCs w:val="31"/>
        </w:rPr>
      </w:pPr>
      <w:r>
        <w:rPr>
          <w:rFonts w:ascii="楷体" w:hAnsi="楷体" w:eastAsia="楷体" w:cs="楷体"/>
          <w:b/>
          <w:bCs/>
          <w:spacing w:val="5"/>
          <w:sz w:val="31"/>
          <w:szCs w:val="31"/>
        </w:rPr>
        <w:t>5.2.2</w:t>
      </w:r>
      <w:r>
        <w:rPr>
          <w:rFonts w:ascii="楷体" w:hAnsi="楷体" w:eastAsia="楷体" w:cs="楷体"/>
          <w:spacing w:val="5"/>
          <w:sz w:val="31"/>
          <w:szCs w:val="31"/>
        </w:rPr>
        <w:t xml:space="preserve">  </w:t>
      </w:r>
      <w:r>
        <w:rPr>
          <w:rFonts w:ascii="楷体" w:hAnsi="楷体" w:eastAsia="楷体" w:cs="楷体"/>
          <w:b/>
          <w:bCs/>
          <w:spacing w:val="5"/>
          <w:sz w:val="31"/>
          <w:szCs w:val="31"/>
        </w:rPr>
        <w:t>临床信息采集阶段（床旁）</w:t>
      </w:r>
    </w:p>
    <w:p w14:paraId="209B64C3">
      <w:pPr>
        <w:pStyle w:val="2"/>
        <w:spacing w:before="112" w:line="259" w:lineRule="auto"/>
        <w:ind w:left="46" w:firstLine="614"/>
      </w:pPr>
      <w:r>
        <w:rPr>
          <w:spacing w:val="4"/>
        </w:rPr>
        <w:t>（</w:t>
      </w:r>
      <w:r>
        <w:rPr>
          <w:spacing w:val="-78"/>
        </w:rPr>
        <w:t xml:space="preserve"> </w:t>
      </w:r>
      <w:r>
        <w:rPr>
          <w:spacing w:val="4"/>
        </w:rPr>
        <w:t>1）查房床旁站位：站位要服从环境条件、病床</w:t>
      </w:r>
      <w:r>
        <w:rPr>
          <w:spacing w:val="3"/>
        </w:rPr>
        <w:t>设置、</w:t>
      </w:r>
      <w:r>
        <w:t xml:space="preserve"> </w:t>
      </w:r>
      <w:r>
        <w:rPr>
          <w:spacing w:val="5"/>
        </w:rPr>
        <w:t>患者情况的实际状态。</w:t>
      </w:r>
    </w:p>
    <w:p w14:paraId="6EE5ABD4">
      <w:pPr>
        <w:pStyle w:val="2"/>
        <w:spacing w:before="127" w:line="281" w:lineRule="auto"/>
        <w:ind w:left="23" w:right="258" w:firstLine="636"/>
        <w:rPr>
          <w:spacing w:val="4"/>
        </w:rPr>
      </w:pPr>
      <w:r>
        <w:rPr>
          <w:spacing w:val="6"/>
        </w:rPr>
        <w:t>（</w:t>
      </w:r>
      <w:r>
        <w:rPr>
          <w:spacing w:val="-73"/>
        </w:rPr>
        <w:t xml:space="preserve"> </w:t>
      </w:r>
      <w:r>
        <w:rPr>
          <w:spacing w:val="6"/>
        </w:rPr>
        <w:t>2）</w:t>
      </w:r>
      <w:r>
        <w:rPr>
          <w:spacing w:val="4"/>
        </w:rPr>
        <w:t>住院医师脱稿汇报病史：汇报应精炼，主要包括 患者基本病史、实验室检查、诊断、诊疗措施， 以及麻醉  相关内容，如有无合并症及严重程度的评估、心肺功能评  估、既往手术麻醉史及恶心呕吐的风险、麻醉分级等。特  殊情况下可以在示教室完成。</w:t>
      </w:r>
    </w:p>
    <w:p w14:paraId="3A1D8593">
      <w:pPr>
        <w:pStyle w:val="2"/>
        <w:spacing w:before="127" w:line="281" w:lineRule="auto"/>
        <w:ind w:left="23" w:right="31" w:rightChars="0" w:firstLine="636"/>
        <w:rPr>
          <w:spacing w:val="4"/>
        </w:rPr>
      </w:pPr>
      <w:r>
        <w:rPr>
          <w:spacing w:val="6"/>
        </w:rPr>
        <w:t>（</w:t>
      </w:r>
      <w:r>
        <w:rPr>
          <w:spacing w:val="-71"/>
        </w:rPr>
        <w:t xml:space="preserve"> </w:t>
      </w:r>
      <w:r>
        <w:rPr>
          <w:spacing w:val="6"/>
        </w:rPr>
        <w:t>3）</w:t>
      </w:r>
      <w:r>
        <w:rPr>
          <w:spacing w:val="4"/>
        </w:rPr>
        <w:t>病史信息核实与补充：指导医师在听取住院医师 汇报同时，应关注患者信息的遗漏、错误或矛盾的内容</w:t>
      </w:r>
      <w:r>
        <w:rPr>
          <w:rFonts w:hint="eastAsia"/>
          <w:spacing w:val="4"/>
          <w:lang w:eastAsia="zh-CN"/>
        </w:rPr>
        <w:t>。</w:t>
      </w:r>
      <w:r>
        <w:rPr>
          <w:spacing w:val="4"/>
        </w:rPr>
        <w:t>然后通过补充问诊的方式与患者核实，纠正这些信息，并示范问诊技巧，也为后续病例讨论做好信息准确性的铺垫。</w:t>
      </w:r>
    </w:p>
    <w:p w14:paraId="5DC4E797">
      <w:pPr>
        <w:pStyle w:val="2"/>
        <w:spacing w:before="53" w:line="289" w:lineRule="auto"/>
        <w:ind w:left="35" w:right="116" w:firstLine="640"/>
      </w:pPr>
      <w:r>
        <w:rPr>
          <w:spacing w:val="19"/>
        </w:rPr>
        <w:t>注意事项：</w:t>
      </w:r>
      <w:r>
        <w:rPr>
          <w:spacing w:val="-88"/>
        </w:rPr>
        <w:t xml:space="preserve"> </w:t>
      </w:r>
      <w:r>
        <w:rPr>
          <w:spacing w:val="19"/>
        </w:rPr>
        <w:t>此环节指导医师需要示范问诊技巧，也可</w:t>
      </w:r>
      <w:r>
        <w:t xml:space="preserve"> </w:t>
      </w:r>
      <w:r>
        <w:rPr>
          <w:spacing w:val="15"/>
        </w:rPr>
        <w:t>由住院医师询问，指导医师补充。</w:t>
      </w:r>
      <w:r>
        <w:rPr>
          <w:spacing w:val="-83"/>
        </w:rPr>
        <w:t xml:space="preserve"> </w:t>
      </w:r>
      <w:r>
        <w:rPr>
          <w:spacing w:val="15"/>
        </w:rPr>
        <w:t>为</w:t>
      </w:r>
      <w:r>
        <w:rPr>
          <w:spacing w:val="-75"/>
        </w:rPr>
        <w:t xml:space="preserve"> </w:t>
      </w:r>
      <w:r>
        <w:rPr>
          <w:spacing w:val="15"/>
        </w:rPr>
        <w:t>了提高效率，病历审</w:t>
      </w:r>
      <w:r>
        <w:t xml:space="preserve"> </w:t>
      </w:r>
      <w:r>
        <w:rPr>
          <w:spacing w:val="21"/>
        </w:rPr>
        <w:t>阅应在教学查房实施前完成，床旁查房时通过病史核实，</w:t>
      </w:r>
      <w:r>
        <w:rPr>
          <w:spacing w:val="2"/>
        </w:rPr>
        <w:t xml:space="preserve"> </w:t>
      </w:r>
      <w:r>
        <w:rPr>
          <w:spacing w:val="8"/>
        </w:rPr>
        <w:t>有目的地向住院医师示范，起到教学效果。</w:t>
      </w:r>
    </w:p>
    <w:p w14:paraId="1EB606EC">
      <w:pPr>
        <w:pStyle w:val="2"/>
        <w:spacing w:before="46" w:line="289" w:lineRule="auto"/>
        <w:ind w:left="27" w:right="116" w:firstLine="632"/>
      </w:pPr>
      <w:r>
        <w:rPr>
          <w:spacing w:val="12"/>
        </w:rPr>
        <w:t>（</w:t>
      </w:r>
      <w:r>
        <w:rPr>
          <w:spacing w:val="-76"/>
        </w:rPr>
        <w:t xml:space="preserve"> </w:t>
      </w:r>
      <w:r>
        <w:rPr>
          <w:spacing w:val="12"/>
        </w:rPr>
        <w:t>4）</w:t>
      </w:r>
      <w:r>
        <w:rPr>
          <w:spacing w:val="15"/>
        </w:rPr>
        <w:t>体格检查实施与示范：住院医师应结合患者病情进行麻醉相关重点体格检查，如困难气道评估、简易心肺功能评估、Allen's试验、脊柱情况评估等</w:t>
      </w:r>
      <w:r>
        <w:rPr>
          <w:rFonts w:hint="eastAsia"/>
          <w:spacing w:val="15"/>
          <w:lang w:eastAsia="zh-CN"/>
        </w:rPr>
        <w:t>，</w:t>
      </w:r>
      <w:r>
        <w:rPr>
          <w:spacing w:val="15"/>
        </w:rPr>
        <w:t>以考察住院医师是否能够针对性地发现与麻醉实施及管理相关的体征。</w:t>
      </w:r>
    </w:p>
    <w:p w14:paraId="2AC715C3">
      <w:pPr>
        <w:pStyle w:val="2"/>
        <w:spacing w:before="51" w:line="289" w:lineRule="auto"/>
        <w:ind w:left="27" w:right="116" w:firstLine="648"/>
      </w:pPr>
      <w:r>
        <w:rPr>
          <w:spacing w:val="22"/>
        </w:rPr>
        <w:t>注意事项：体格检查过程中指导医师要随时密切</w:t>
      </w:r>
      <w:r>
        <w:rPr>
          <w:spacing w:val="21"/>
        </w:rPr>
        <w:t>观察</w:t>
      </w:r>
      <w:r>
        <w:t xml:space="preserve"> </w:t>
      </w:r>
      <w:r>
        <w:rPr>
          <w:spacing w:val="21"/>
        </w:rPr>
        <w:t>患者的感受和隐私保护。若患者感到不适，指导医师可以</w:t>
      </w:r>
      <w:r>
        <w:rPr>
          <w:spacing w:val="8"/>
        </w:rPr>
        <w:t xml:space="preserve"> </w:t>
      </w:r>
      <w:r>
        <w:rPr>
          <w:spacing w:val="21"/>
        </w:rPr>
        <w:t>随时终止操作，但不宜在床旁直接指出住院医师的操作错</w:t>
      </w:r>
      <w:r>
        <w:rPr>
          <w:spacing w:val="10"/>
        </w:rPr>
        <w:t xml:space="preserve"> </w:t>
      </w:r>
      <w:r>
        <w:rPr>
          <w:spacing w:val="8"/>
        </w:rPr>
        <w:t>误，建议在示教室进行反馈或探讨。</w:t>
      </w:r>
    </w:p>
    <w:p w14:paraId="67370076">
      <w:pPr>
        <w:pStyle w:val="2"/>
        <w:spacing w:before="53" w:line="286" w:lineRule="auto"/>
        <w:ind w:left="23" w:right="116" w:firstLine="636"/>
      </w:pPr>
      <w:r>
        <w:rPr>
          <w:spacing w:val="12"/>
        </w:rPr>
        <w:t>（</w:t>
      </w:r>
      <w:r>
        <w:rPr>
          <w:spacing w:val="-76"/>
        </w:rPr>
        <w:t xml:space="preserve"> </w:t>
      </w:r>
      <w:r>
        <w:rPr>
          <w:spacing w:val="12"/>
        </w:rPr>
        <w:t>5）床旁查房的收尾：指导医师应对病史汇报与体格</w:t>
      </w:r>
      <w:r>
        <w:t xml:space="preserve"> </w:t>
      </w:r>
      <w:r>
        <w:rPr>
          <w:spacing w:val="21"/>
        </w:rPr>
        <w:t>检查环节进行扼要总结，在与患者交流中示范医患沟通、</w:t>
      </w:r>
      <w:r>
        <w:rPr>
          <w:spacing w:val="14"/>
        </w:rPr>
        <w:t xml:space="preserve"> </w:t>
      </w:r>
      <w:r>
        <w:rPr>
          <w:spacing w:val="3"/>
        </w:rPr>
        <w:t>人文关怀、健康宣教及</w:t>
      </w:r>
      <w:r>
        <w:rPr>
          <w:spacing w:val="-105"/>
        </w:rPr>
        <w:t xml:space="preserve"> </w:t>
      </w:r>
      <w:r>
        <w:rPr>
          <w:spacing w:val="3"/>
        </w:rPr>
        <w:t>“</w:t>
      </w:r>
      <w:r>
        <w:rPr>
          <w:spacing w:val="-96"/>
        </w:rPr>
        <w:t xml:space="preserve"> </w:t>
      </w:r>
      <w:r>
        <w:rPr>
          <w:spacing w:val="3"/>
        </w:rPr>
        <w:t>以患者为中心”</w:t>
      </w:r>
      <w:r>
        <w:rPr>
          <w:spacing w:val="-115"/>
        </w:rPr>
        <w:t xml:space="preserve"> </w:t>
      </w:r>
      <w:r>
        <w:rPr>
          <w:spacing w:val="3"/>
        </w:rPr>
        <w:t>的决策</w:t>
      </w:r>
      <w:r>
        <w:rPr>
          <w:spacing w:val="2"/>
        </w:rPr>
        <w:t>技巧。</w:t>
      </w:r>
    </w:p>
    <w:p w14:paraId="282684AC">
      <w:pPr>
        <w:spacing w:line="286" w:lineRule="auto"/>
        <w:sectPr>
          <w:footerReference r:id="rId9" w:type="default"/>
          <w:pgSz w:w="11900" w:h="16840"/>
          <w:pgMar w:top="841" w:right="1684" w:bottom="1193" w:left="1785" w:header="0" w:footer="1016" w:gutter="0"/>
          <w:cols w:space="720" w:num="1"/>
        </w:sectPr>
      </w:pPr>
    </w:p>
    <w:p w14:paraId="0C7E76EC">
      <w:pPr>
        <w:spacing w:before="101" w:line="234" w:lineRule="auto"/>
        <w:ind w:left="20"/>
        <w:outlineLvl w:val="2"/>
        <w:rPr>
          <w:rFonts w:ascii="楷体" w:hAnsi="楷体" w:eastAsia="楷体" w:cs="楷体"/>
          <w:sz w:val="31"/>
          <w:szCs w:val="31"/>
        </w:rPr>
      </w:pPr>
      <w:r>
        <w:rPr>
          <w:rFonts w:ascii="楷体" w:hAnsi="楷体" w:eastAsia="楷体" w:cs="楷体"/>
          <w:b/>
          <w:bCs/>
          <w:spacing w:val="5"/>
          <w:sz w:val="31"/>
          <w:szCs w:val="31"/>
        </w:rPr>
        <w:t>5.2.3</w:t>
      </w:r>
      <w:r>
        <w:rPr>
          <w:rFonts w:ascii="楷体" w:hAnsi="楷体" w:eastAsia="楷体" w:cs="楷体"/>
          <w:spacing w:val="5"/>
          <w:sz w:val="31"/>
          <w:szCs w:val="31"/>
        </w:rPr>
        <w:t xml:space="preserve">  </w:t>
      </w:r>
      <w:r>
        <w:rPr>
          <w:rFonts w:ascii="楷体" w:hAnsi="楷体" w:eastAsia="楷体" w:cs="楷体"/>
          <w:b/>
          <w:bCs/>
          <w:spacing w:val="5"/>
          <w:sz w:val="31"/>
          <w:szCs w:val="31"/>
        </w:rPr>
        <w:t>病例讨论阶段（示教室）</w:t>
      </w:r>
    </w:p>
    <w:p w14:paraId="6AC4E591">
      <w:pPr>
        <w:pStyle w:val="2"/>
        <w:spacing w:before="106" w:line="272" w:lineRule="auto"/>
        <w:ind w:left="23" w:right="16" w:firstLine="636"/>
      </w:pPr>
      <w:r>
        <w:rPr>
          <w:spacing w:val="12"/>
        </w:rPr>
        <w:t>（</w:t>
      </w:r>
      <w:r>
        <w:rPr>
          <w:spacing w:val="-74"/>
        </w:rPr>
        <w:t xml:space="preserve"> </w:t>
      </w:r>
      <w:r>
        <w:rPr>
          <w:spacing w:val="12"/>
        </w:rPr>
        <w:t>1）对床旁查房过程总结：指导医师对于病史汇</w:t>
      </w:r>
      <w:r>
        <w:rPr>
          <w:spacing w:val="11"/>
        </w:rPr>
        <w:t>报、</w:t>
      </w:r>
      <w:r>
        <w:t xml:space="preserve"> </w:t>
      </w:r>
      <w:r>
        <w:rPr>
          <w:rFonts w:ascii="宋体" w:hAnsi="宋体" w:eastAsia="宋体" w:cs="宋体"/>
          <w:spacing w:val="21"/>
        </w:rPr>
        <w:t>麻醉</w:t>
      </w:r>
      <w:r>
        <w:rPr>
          <w:spacing w:val="21"/>
        </w:rPr>
        <w:t>相关病史采集与查体过程进</w:t>
      </w:r>
      <w:r>
        <w:rPr>
          <w:spacing w:val="12"/>
        </w:rPr>
        <w:t>行点评与反馈，并对麻醉 相关医疗文书的规范书写提出改进建议。</w:t>
      </w:r>
    </w:p>
    <w:p w14:paraId="12BDAD58">
      <w:pPr>
        <w:pStyle w:val="2"/>
        <w:spacing w:before="124" w:line="221" w:lineRule="auto"/>
        <w:ind w:left="660"/>
      </w:pPr>
      <w:r>
        <w:rPr>
          <w:spacing w:val="5"/>
        </w:rPr>
        <w:t>（</w:t>
      </w:r>
      <w:r>
        <w:rPr>
          <w:spacing w:val="-69"/>
        </w:rPr>
        <w:t xml:space="preserve"> </w:t>
      </w:r>
      <w:r>
        <w:rPr>
          <w:spacing w:val="5"/>
        </w:rPr>
        <w:t>2）安排住院医师对病例特点进行归纳与总结。</w:t>
      </w:r>
    </w:p>
    <w:p w14:paraId="299690A0">
      <w:pPr>
        <w:pStyle w:val="2"/>
        <w:spacing w:before="128" w:line="271" w:lineRule="auto"/>
        <w:ind w:left="28" w:right="16" w:firstLine="631"/>
        <w:rPr>
          <w:spacing w:val="12"/>
        </w:rPr>
      </w:pPr>
      <w:r>
        <w:rPr>
          <w:spacing w:val="11"/>
        </w:rPr>
        <w:t>（</w:t>
      </w:r>
      <w:r>
        <w:rPr>
          <w:spacing w:val="-52"/>
        </w:rPr>
        <w:t xml:space="preserve"> </w:t>
      </w:r>
      <w:r>
        <w:rPr>
          <w:spacing w:val="11"/>
        </w:rPr>
        <w:t>3）</w:t>
      </w:r>
      <w:r>
        <w:rPr>
          <w:spacing w:val="12"/>
        </w:rPr>
        <w:t>指导医师与住院医师共同分析与解读麻醉相关辅 助检查结果、讨论围术期麻醉管理方案，包括麻醉诱导、 管理策略及其思路、术后随访的关键问题并制订麻醉预案。</w:t>
      </w:r>
    </w:p>
    <w:p w14:paraId="19D4F43F">
      <w:pPr>
        <w:pStyle w:val="2"/>
        <w:spacing w:before="125" w:line="272" w:lineRule="auto"/>
        <w:ind w:left="35" w:right="16" w:firstLine="625"/>
        <w:rPr>
          <w:spacing w:val="12"/>
        </w:rPr>
      </w:pPr>
      <w:r>
        <w:rPr>
          <w:spacing w:val="12"/>
        </w:rPr>
        <w:t>（</w:t>
      </w:r>
      <w:r>
        <w:rPr>
          <w:spacing w:val="-76"/>
        </w:rPr>
        <w:t xml:space="preserve"> </w:t>
      </w:r>
      <w:r>
        <w:rPr>
          <w:spacing w:val="12"/>
        </w:rPr>
        <w:t>4）指导医师在引导住院医师制订麻醉</w:t>
      </w:r>
      <w:r>
        <w:rPr>
          <w:spacing w:val="12"/>
        </w:rPr>
        <w:t>预案过程中， 应注意运用循证医学观点</w:t>
      </w:r>
      <w:r>
        <w:rPr>
          <w:rFonts w:hint="eastAsia"/>
          <w:spacing w:val="12"/>
          <w:lang w:eastAsia="zh-CN"/>
        </w:rPr>
        <w:t>、</w:t>
      </w:r>
      <w:r>
        <w:rPr>
          <w:spacing w:val="12"/>
        </w:rPr>
        <w:t>“ 以患者为中心”理念，学习 如何权衡利弊做出决策。</w:t>
      </w:r>
    </w:p>
    <w:p w14:paraId="73BA90DF">
      <w:pPr>
        <w:pStyle w:val="2"/>
        <w:spacing w:before="126" w:line="259" w:lineRule="auto"/>
        <w:ind w:left="23" w:right="18" w:firstLine="636"/>
      </w:pPr>
      <w:r>
        <w:rPr>
          <w:spacing w:val="12"/>
        </w:rPr>
        <w:t>（</w:t>
      </w:r>
      <w:r>
        <w:rPr>
          <w:spacing w:val="-78"/>
        </w:rPr>
        <w:t xml:space="preserve"> </w:t>
      </w:r>
      <w:r>
        <w:rPr>
          <w:spacing w:val="12"/>
        </w:rPr>
        <w:t>5）在病例讨论中，可结合本病例适</w:t>
      </w:r>
      <w:r>
        <w:rPr>
          <w:rFonts w:ascii="宋体" w:hAnsi="宋体" w:eastAsia="宋体" w:cs="宋体"/>
          <w:spacing w:val="12"/>
        </w:rPr>
        <w:t>度涉</w:t>
      </w:r>
      <w:r>
        <w:rPr>
          <w:spacing w:val="12"/>
        </w:rPr>
        <w:t>及知识拓展</w:t>
      </w:r>
      <w:r>
        <w:t xml:space="preserve"> </w:t>
      </w:r>
      <w:r>
        <w:rPr>
          <w:spacing w:val="9"/>
        </w:rPr>
        <w:t>及新进展，引导住院医师思考和自主学习。</w:t>
      </w:r>
    </w:p>
    <w:p w14:paraId="267537DE">
      <w:pPr>
        <w:pStyle w:val="2"/>
        <w:spacing w:before="128" w:line="271" w:lineRule="auto"/>
        <w:ind w:left="27" w:right="16" w:firstLine="632"/>
        <w:rPr>
          <w:spacing w:val="12"/>
        </w:rPr>
      </w:pPr>
      <w:r>
        <w:rPr>
          <w:spacing w:val="12"/>
        </w:rPr>
        <w:t>（</w:t>
      </w:r>
      <w:r>
        <w:rPr>
          <w:spacing w:val="-76"/>
        </w:rPr>
        <w:t xml:space="preserve"> </w:t>
      </w:r>
      <w:r>
        <w:rPr>
          <w:spacing w:val="12"/>
        </w:rPr>
        <w:t>6）指导医师对教学查房整个过程进行总结；呼应教 学目标，评价住院医师在本次教学查房中，是否达到预期 教学目标；提出课后学习问题并提供学习参考资料。</w:t>
      </w:r>
    </w:p>
    <w:p w14:paraId="0F626B3D">
      <w:pPr>
        <w:pStyle w:val="2"/>
        <w:spacing w:before="130" w:line="289" w:lineRule="auto"/>
        <w:ind w:left="24" w:right="16" w:firstLine="635"/>
      </w:pPr>
      <w:r>
        <w:rPr>
          <w:spacing w:val="9"/>
        </w:rPr>
        <w:t>（</w:t>
      </w:r>
      <w:r>
        <w:rPr>
          <w:spacing w:val="-62"/>
        </w:rPr>
        <w:t xml:space="preserve"> </w:t>
      </w:r>
      <w:r>
        <w:rPr>
          <w:spacing w:val="9"/>
        </w:rPr>
        <w:t>7）教学查房讨论中注意事项：</w:t>
      </w:r>
      <w:r>
        <w:rPr>
          <w:spacing w:val="-97"/>
        </w:rPr>
        <w:t xml:space="preserve"> </w:t>
      </w:r>
      <w:r>
        <w:rPr>
          <w:spacing w:val="9"/>
        </w:rPr>
        <w:t>①整个讨论过程中，</w:t>
      </w:r>
      <w:r>
        <w:t xml:space="preserve"> </w:t>
      </w:r>
      <w:r>
        <w:rPr>
          <w:spacing w:val="21"/>
        </w:rPr>
        <w:t>应鼓励住院医师充分发表观点、相互提问与补充、促进达</w:t>
      </w:r>
      <w:r>
        <w:rPr>
          <w:spacing w:val="12"/>
        </w:rPr>
        <w:t xml:space="preserve"> </w:t>
      </w:r>
      <w:r>
        <w:rPr>
          <w:spacing w:val="19"/>
        </w:rPr>
        <w:t>成共识。</w:t>
      </w:r>
      <w:r>
        <w:rPr>
          <w:spacing w:val="-86"/>
        </w:rPr>
        <w:t xml:space="preserve"> </w:t>
      </w:r>
      <w:r>
        <w:rPr>
          <w:spacing w:val="19"/>
        </w:rPr>
        <w:t>②指导医师要注意调动住院医师积</w:t>
      </w:r>
      <w:r>
        <w:rPr>
          <w:spacing w:val="18"/>
        </w:rPr>
        <w:t>极参与讨论，</w:t>
      </w:r>
      <w:r>
        <w:t xml:space="preserve"> </w:t>
      </w:r>
      <w:r>
        <w:rPr>
          <w:spacing w:val="21"/>
        </w:rPr>
        <w:t>同时也要适时引导讨论回归主题，完成对预先设定教学目</w:t>
      </w:r>
      <w:r>
        <w:rPr>
          <w:spacing w:val="12"/>
        </w:rPr>
        <w:t xml:space="preserve"> </w:t>
      </w:r>
      <w:r>
        <w:rPr>
          <w:spacing w:val="18"/>
        </w:rPr>
        <w:t>标的学习。</w:t>
      </w:r>
      <w:r>
        <w:rPr>
          <w:spacing w:val="-68"/>
        </w:rPr>
        <w:t xml:space="preserve"> </w:t>
      </w:r>
      <w:r>
        <w:rPr>
          <w:spacing w:val="18"/>
        </w:rPr>
        <w:t>③利用好幻灯片，主要起到信息提示作用，也</w:t>
      </w:r>
      <w:r>
        <w:t xml:space="preserve"> </w:t>
      </w:r>
      <w:r>
        <w:rPr>
          <w:spacing w:val="18"/>
        </w:rPr>
        <w:t>可与板书结合，</w:t>
      </w:r>
      <w:r>
        <w:rPr>
          <w:spacing w:val="-68"/>
        </w:rPr>
        <w:t xml:space="preserve"> </w:t>
      </w:r>
      <w:r>
        <w:rPr>
          <w:spacing w:val="18"/>
        </w:rPr>
        <w:t>引导病例讨论，但切忌简单做成小讲课形</w:t>
      </w:r>
      <w:r>
        <w:t xml:space="preserve"> </w:t>
      </w:r>
      <w:r>
        <w:rPr>
          <w:spacing w:val="15"/>
        </w:rPr>
        <w:t>式。</w:t>
      </w:r>
      <w:r>
        <w:rPr>
          <w:spacing w:val="-68"/>
        </w:rPr>
        <w:t xml:space="preserve"> </w:t>
      </w:r>
      <w:r>
        <w:rPr>
          <w:spacing w:val="15"/>
        </w:rPr>
        <w:t>④注意融入课程思政内容。</w:t>
      </w:r>
      <w:r>
        <w:rPr>
          <w:spacing w:val="-79"/>
        </w:rPr>
        <w:t xml:space="preserve"> </w:t>
      </w:r>
      <w:r>
        <w:rPr>
          <w:spacing w:val="15"/>
        </w:rPr>
        <w:t>⑤合理对住院医师开展分</w:t>
      </w:r>
      <w:r>
        <w:t xml:space="preserve"> </w:t>
      </w:r>
      <w:r>
        <w:rPr>
          <w:spacing w:val="12"/>
        </w:rPr>
        <w:t>层教学，一般可让低年资住院医师负责常见手术麻醉的病 史总结、提出初步麻醉方案， 中高年资住院医师负责补充 围术期临床麻醉思维、管理策略及特殊事件处理预案。</w:t>
      </w:r>
    </w:p>
    <w:p w14:paraId="024CFE4A">
      <w:pPr>
        <w:spacing w:before="122" w:line="229" w:lineRule="auto"/>
        <w:ind w:left="20"/>
        <w:outlineLvl w:val="1"/>
        <w:rPr>
          <w:rFonts w:ascii="楷体" w:hAnsi="楷体" w:eastAsia="楷体" w:cs="楷体"/>
          <w:sz w:val="31"/>
          <w:szCs w:val="31"/>
        </w:rPr>
      </w:pPr>
      <w:r>
        <w:rPr>
          <w:rFonts w:ascii="楷体" w:hAnsi="楷体" w:eastAsia="楷体" w:cs="楷体"/>
          <w:b/>
          <w:bCs/>
          <w:spacing w:val="6"/>
          <w:sz w:val="31"/>
          <w:szCs w:val="31"/>
        </w:rPr>
        <w:t>5.3</w:t>
      </w:r>
      <w:r>
        <w:rPr>
          <w:rFonts w:ascii="楷体" w:hAnsi="楷体" w:eastAsia="楷体" w:cs="楷体"/>
          <w:spacing w:val="6"/>
          <w:sz w:val="31"/>
          <w:szCs w:val="31"/>
        </w:rPr>
        <w:t xml:space="preserve">  </w:t>
      </w:r>
      <w:r>
        <w:rPr>
          <w:rFonts w:ascii="楷体" w:hAnsi="楷体" w:eastAsia="楷体" w:cs="楷体"/>
          <w:b/>
          <w:bCs/>
          <w:spacing w:val="6"/>
          <w:sz w:val="31"/>
          <w:szCs w:val="31"/>
        </w:rPr>
        <w:t>查房结束后的复盘分析</w:t>
      </w:r>
    </w:p>
    <w:p w14:paraId="65F9A0F7">
      <w:pPr>
        <w:pStyle w:val="2"/>
        <w:spacing w:before="130" w:line="289" w:lineRule="auto"/>
        <w:ind w:left="24" w:right="16" w:firstLine="635"/>
        <w:rPr>
          <w:spacing w:val="12"/>
        </w:rPr>
      </w:pPr>
      <w:r>
        <w:rPr>
          <w:spacing w:val="12"/>
        </w:rPr>
        <w:t>（</w:t>
      </w:r>
      <w:r>
        <w:rPr>
          <w:spacing w:val="-74"/>
        </w:rPr>
        <w:t xml:space="preserve"> </w:t>
      </w:r>
      <w:r>
        <w:rPr>
          <w:spacing w:val="12"/>
        </w:rPr>
        <w:t>1）由主管住院医师完成麻醉</w:t>
      </w:r>
      <w:r>
        <w:rPr>
          <w:spacing w:val="12"/>
        </w:rPr>
        <w:t>后的总结记录。主要内</w:t>
      </w:r>
    </w:p>
    <w:p w14:paraId="035BC08F">
      <w:pPr>
        <w:pStyle w:val="2"/>
        <w:spacing w:before="130" w:line="289" w:lineRule="auto"/>
        <w:ind w:left="24" w:right="16" w:firstLine="635"/>
        <w:rPr>
          <w:spacing w:val="12"/>
        </w:rPr>
        <w:sectPr>
          <w:footerReference r:id="rId10" w:type="default"/>
          <w:pgSz w:w="11900" w:h="16840"/>
          <w:pgMar w:top="841" w:right="1785" w:bottom="1194" w:left="1785" w:header="0" w:footer="1016" w:gutter="0"/>
          <w:cols w:space="720" w:num="1"/>
        </w:sectPr>
      </w:pPr>
    </w:p>
    <w:p w14:paraId="2DD0664A">
      <w:pPr>
        <w:pStyle w:val="2"/>
        <w:spacing w:before="130" w:line="289" w:lineRule="auto"/>
        <w:ind w:right="16"/>
        <w:rPr>
          <w:spacing w:val="12"/>
        </w:rPr>
      </w:pPr>
      <w:r>
        <w:rPr>
          <w:spacing w:val="12"/>
        </w:rPr>
        <w:t>容包括手术患者围术期麻醉管理中的要点及处理策略，对 预期和非预期的特殊情况记录并分析原因。</w:t>
      </w:r>
    </w:p>
    <w:p w14:paraId="48933EB5">
      <w:pPr>
        <w:pStyle w:val="2"/>
        <w:spacing w:before="51" w:line="282" w:lineRule="auto"/>
        <w:ind w:left="53" w:right="18" w:firstLine="606"/>
      </w:pPr>
      <w:r>
        <w:rPr>
          <w:spacing w:val="12"/>
        </w:rPr>
        <w:t>（</w:t>
      </w:r>
      <w:r>
        <w:rPr>
          <w:spacing w:val="-78"/>
        </w:rPr>
        <w:t xml:space="preserve"> </w:t>
      </w:r>
      <w:r>
        <w:rPr>
          <w:spacing w:val="12"/>
        </w:rPr>
        <w:t>2）指导医师进行</w:t>
      </w:r>
      <w:r>
        <w:rPr>
          <w:rFonts w:ascii="宋体" w:hAnsi="宋体" w:eastAsia="宋体" w:cs="宋体"/>
          <w:spacing w:val="12"/>
        </w:rPr>
        <w:t>修</w:t>
      </w:r>
      <w:r>
        <w:rPr>
          <w:spacing w:val="12"/>
        </w:rPr>
        <w:t>改总结后发给参与查房的住院医</w:t>
      </w:r>
      <w:r>
        <w:t xml:space="preserve"> </w:t>
      </w:r>
      <w:r>
        <w:rPr>
          <w:spacing w:val="1"/>
        </w:rPr>
        <w:t>师进行学习。</w:t>
      </w:r>
    </w:p>
    <w:p w14:paraId="6530980B">
      <w:pPr>
        <w:spacing w:before="49" w:line="226" w:lineRule="auto"/>
        <w:ind w:left="26"/>
        <w:outlineLvl w:val="1"/>
        <w:rPr>
          <w:rFonts w:ascii="黑体" w:hAnsi="黑体" w:eastAsia="黑体" w:cs="黑体"/>
          <w:sz w:val="31"/>
          <w:szCs w:val="31"/>
        </w:rPr>
      </w:pPr>
      <w:r>
        <w:rPr>
          <w:rFonts w:ascii="黑体" w:hAnsi="黑体" w:eastAsia="黑体" w:cs="黑体"/>
          <w:b/>
          <w:bCs/>
          <w:sz w:val="31"/>
          <w:szCs w:val="31"/>
        </w:rPr>
        <w:t>6</w:t>
      </w:r>
      <w:r>
        <w:rPr>
          <w:rFonts w:ascii="黑体" w:hAnsi="黑体" w:eastAsia="黑体" w:cs="黑体"/>
          <w:spacing w:val="16"/>
          <w:sz w:val="31"/>
          <w:szCs w:val="31"/>
        </w:rPr>
        <w:t xml:space="preserve">  </w:t>
      </w:r>
      <w:r>
        <w:rPr>
          <w:rFonts w:ascii="黑体" w:hAnsi="黑体" w:eastAsia="黑体" w:cs="黑体"/>
          <w:b/>
          <w:bCs/>
          <w:sz w:val="31"/>
          <w:szCs w:val="31"/>
        </w:rPr>
        <w:t>其他说明</w:t>
      </w:r>
    </w:p>
    <w:p w14:paraId="519F5B10">
      <w:pPr>
        <w:pStyle w:val="2"/>
        <w:spacing w:before="130" w:line="289" w:lineRule="auto"/>
        <w:ind w:right="16" w:firstLine="668" w:firstLineChars="200"/>
        <w:rPr>
          <w:spacing w:val="12"/>
        </w:rPr>
      </w:pPr>
      <w:r>
        <w:rPr>
          <w:spacing w:val="12"/>
        </w:rPr>
        <w:t>本实施指引适用于全国各住院医师规范化培训麻醉科 专业基地开展教学查房。</w:t>
      </w:r>
    </w:p>
    <w:p w14:paraId="7148AD48">
      <w:pPr>
        <w:pStyle w:val="2"/>
        <w:spacing w:before="130" w:line="289" w:lineRule="auto"/>
        <w:ind w:right="16" w:firstLine="668" w:firstLineChars="200"/>
        <w:rPr>
          <w:spacing w:val="12"/>
        </w:rPr>
      </w:pPr>
      <w:r>
        <w:rPr>
          <w:spacing w:val="12"/>
        </w:rPr>
        <w:t>在组织查房时，各麻醉科专业基地可根据本实施指引， 结合本医院及科室自身条件和特点，对查房形式的细节进行调整安排。例如，若选择在麻醉中、麻醉后进行麻醉科专业教学查房，可结合本实施指引精神，参考国家相关指南调整查房具体形式，但必须涵盖本实施指引基本要求的内涵。</w:t>
      </w:r>
    </w:p>
    <w:p w14:paraId="235F043F">
      <w:pPr>
        <w:spacing w:before="48" w:line="230" w:lineRule="auto"/>
        <w:ind w:left="28"/>
        <w:outlineLvl w:val="1"/>
        <w:rPr>
          <w:rFonts w:ascii="黑体" w:hAnsi="黑体" w:eastAsia="黑体" w:cs="黑体"/>
          <w:sz w:val="31"/>
          <w:szCs w:val="31"/>
        </w:rPr>
      </w:pPr>
      <w:r>
        <w:rPr>
          <w:rFonts w:ascii="黑体" w:hAnsi="黑体" w:eastAsia="黑体" w:cs="黑体"/>
          <w:b/>
          <w:bCs/>
          <w:spacing w:val="-10"/>
          <w:sz w:val="31"/>
          <w:szCs w:val="31"/>
        </w:rPr>
        <w:t>7</w:t>
      </w:r>
      <w:r>
        <w:rPr>
          <w:rFonts w:ascii="黑体" w:hAnsi="黑体" w:eastAsia="黑体" w:cs="黑体"/>
          <w:spacing w:val="21"/>
          <w:sz w:val="31"/>
          <w:szCs w:val="31"/>
        </w:rPr>
        <w:t xml:space="preserve">  </w:t>
      </w:r>
      <w:r>
        <w:rPr>
          <w:rFonts w:ascii="黑体" w:hAnsi="黑体" w:eastAsia="黑体" w:cs="黑体"/>
          <w:b/>
          <w:bCs/>
          <w:spacing w:val="-10"/>
          <w:sz w:val="31"/>
          <w:szCs w:val="31"/>
        </w:rPr>
        <w:t>附件</w:t>
      </w:r>
    </w:p>
    <w:p w14:paraId="4B268FD1">
      <w:pPr>
        <w:pStyle w:val="2"/>
        <w:spacing w:before="27" w:line="235" w:lineRule="auto"/>
        <w:ind w:left="19" w:right="18" w:firstLine="655"/>
      </w:pPr>
      <w:r>
        <w:rPr>
          <w:spacing w:val="22"/>
        </w:rPr>
        <w:t>住院医师规范化培训</w:t>
      </w:r>
      <w:r>
        <w:rPr>
          <w:rFonts w:ascii="宋体" w:hAnsi="宋体" w:eastAsia="宋体" w:cs="宋体"/>
          <w:spacing w:val="22"/>
        </w:rPr>
        <w:t>麻醉</w:t>
      </w:r>
      <w:r>
        <w:rPr>
          <w:spacing w:val="22"/>
        </w:rPr>
        <w:t>科专业教学查房考核评分表</w:t>
      </w:r>
      <w:r>
        <w:t xml:space="preserve"> </w:t>
      </w:r>
      <w:r>
        <w:rPr>
          <w:spacing w:val="8"/>
        </w:rPr>
        <w:t>（督导专家/同行评议使用）</w:t>
      </w:r>
    </w:p>
    <w:p w14:paraId="3B6682E1">
      <w:pPr>
        <w:spacing w:line="273" w:lineRule="auto"/>
        <w:rPr>
          <w:rFonts w:ascii="Arial"/>
          <w:sz w:val="21"/>
        </w:rPr>
      </w:pPr>
    </w:p>
    <w:p w14:paraId="7F1349A8">
      <w:pPr>
        <w:spacing w:line="273" w:lineRule="auto"/>
        <w:rPr>
          <w:rFonts w:ascii="Arial"/>
          <w:sz w:val="21"/>
        </w:rPr>
      </w:pPr>
    </w:p>
    <w:p w14:paraId="7ED920BB">
      <w:pPr>
        <w:spacing w:line="274" w:lineRule="auto"/>
        <w:rPr>
          <w:rFonts w:ascii="Arial"/>
          <w:sz w:val="21"/>
        </w:rPr>
      </w:pPr>
    </w:p>
    <w:p w14:paraId="24485C46">
      <w:pPr>
        <w:spacing w:line="274" w:lineRule="auto"/>
        <w:rPr>
          <w:rFonts w:ascii="Arial"/>
          <w:sz w:val="21"/>
        </w:rPr>
      </w:pPr>
    </w:p>
    <w:p w14:paraId="3BB31EEF">
      <w:pPr>
        <w:pStyle w:val="2"/>
        <w:spacing w:before="79" w:line="351" w:lineRule="auto"/>
        <w:ind w:left="23" w:right="20" w:firstLine="278"/>
        <w:jc w:val="both"/>
        <w:rPr>
          <w:sz w:val="24"/>
          <w:szCs w:val="24"/>
        </w:rPr>
      </w:pPr>
      <w:r>
        <w:rPr>
          <w:spacing w:val="6"/>
          <w:sz w:val="24"/>
          <w:szCs w:val="24"/>
        </w:rPr>
        <w:t>“</w:t>
      </w:r>
      <w:r>
        <w:rPr>
          <w:spacing w:val="-52"/>
          <w:sz w:val="24"/>
          <w:szCs w:val="24"/>
        </w:rPr>
        <w:t xml:space="preserve"> </w:t>
      </w:r>
      <w:r>
        <w:rPr>
          <w:spacing w:val="6"/>
          <w:sz w:val="24"/>
          <w:szCs w:val="24"/>
        </w:rPr>
        <w:t>以患者为中心”的医疗服务是指：</w:t>
      </w:r>
      <w:r>
        <w:rPr>
          <w:spacing w:val="-54"/>
          <w:sz w:val="24"/>
          <w:szCs w:val="24"/>
        </w:rPr>
        <w:t xml:space="preserve"> </w:t>
      </w:r>
      <w:r>
        <w:rPr>
          <w:spacing w:val="6"/>
          <w:sz w:val="24"/>
          <w:szCs w:val="24"/>
        </w:rPr>
        <w:t>由患者具体的健康需求和期望来引导</w:t>
      </w:r>
      <w:r>
        <w:rPr>
          <w:sz w:val="24"/>
          <w:szCs w:val="24"/>
        </w:rPr>
        <w:t xml:space="preserve"> </w:t>
      </w:r>
      <w:r>
        <w:rPr>
          <w:spacing w:val="4"/>
          <w:sz w:val="24"/>
          <w:szCs w:val="24"/>
        </w:rPr>
        <w:t>医疗决策和服务质量的评价。患者与家属是医疗人</w:t>
      </w:r>
      <w:r>
        <w:rPr>
          <w:spacing w:val="3"/>
          <w:sz w:val="24"/>
          <w:szCs w:val="24"/>
        </w:rPr>
        <w:t>员决策过程的合作伙伴，积</w:t>
      </w:r>
      <w:r>
        <w:rPr>
          <w:sz w:val="24"/>
          <w:szCs w:val="24"/>
        </w:rPr>
        <w:t xml:space="preserve"> </w:t>
      </w:r>
      <w:r>
        <w:rPr>
          <w:spacing w:val="2"/>
          <w:sz w:val="24"/>
          <w:szCs w:val="24"/>
        </w:rPr>
        <w:t>极鼓励他们参加医患共同决策。</w:t>
      </w:r>
      <w:r>
        <w:rPr>
          <w:spacing w:val="-61"/>
          <w:sz w:val="24"/>
          <w:szCs w:val="24"/>
        </w:rPr>
        <w:t xml:space="preserve"> </w:t>
      </w:r>
      <w:r>
        <w:rPr>
          <w:spacing w:val="2"/>
          <w:sz w:val="24"/>
          <w:szCs w:val="24"/>
        </w:rPr>
        <w:t>医疗人员不仅应从临床专业视角，更须</w:t>
      </w:r>
      <w:r>
        <w:rPr>
          <w:spacing w:val="1"/>
          <w:sz w:val="24"/>
          <w:szCs w:val="24"/>
        </w:rPr>
        <w:t>考虑患</w:t>
      </w:r>
      <w:r>
        <w:rPr>
          <w:sz w:val="24"/>
          <w:szCs w:val="24"/>
        </w:rPr>
        <w:t xml:space="preserve"> </w:t>
      </w:r>
      <w:r>
        <w:rPr>
          <w:spacing w:val="3"/>
          <w:sz w:val="24"/>
          <w:szCs w:val="24"/>
        </w:rPr>
        <w:t>者的情感、心理、信仰、社会及经济等需求，提供合理的治疗方案。</w:t>
      </w:r>
    </w:p>
    <w:p w14:paraId="423B606C">
      <w:pPr>
        <w:spacing w:line="351" w:lineRule="auto"/>
        <w:rPr>
          <w:sz w:val="24"/>
          <w:szCs w:val="24"/>
        </w:rPr>
        <w:sectPr>
          <w:footerReference r:id="rId11" w:type="default"/>
          <w:pgSz w:w="11900" w:h="16840"/>
          <w:pgMar w:top="841" w:right="1785" w:bottom="1193" w:left="1785" w:header="0" w:footer="1016" w:gutter="0"/>
          <w:cols w:space="720" w:num="1"/>
        </w:sectPr>
      </w:pPr>
    </w:p>
    <w:p w14:paraId="7FD56A6A">
      <w:pPr>
        <w:pStyle w:val="2"/>
        <w:spacing w:before="40" w:line="416" w:lineRule="auto"/>
        <w:ind w:left="624" w:right="5758" w:hanging="17"/>
        <w:rPr>
          <w:rFonts w:ascii="黑体" w:hAnsi="黑体" w:eastAsia="黑体" w:cs="黑体"/>
        </w:rPr>
      </w:pPr>
      <w:r>
        <w:rPr>
          <w:rFonts w:ascii="黑体" w:hAnsi="黑体" w:eastAsia="黑体" w:cs="黑体"/>
          <w:b/>
          <w:bCs/>
          <w:spacing w:val="-5"/>
        </w:rPr>
        <w:t>附件：</w:t>
      </w:r>
    </w:p>
    <w:p w14:paraId="0BC2C4D9">
      <w:pPr>
        <w:pStyle w:val="2"/>
        <w:spacing w:line="222" w:lineRule="auto"/>
        <w:ind w:left="1021"/>
        <w:outlineLvl w:val="0"/>
      </w:pPr>
      <w:r>
        <w:rPr>
          <w:b/>
          <w:bCs/>
          <w:spacing w:val="11"/>
        </w:rPr>
        <w:t>住院医师规范化培训麻醉</w:t>
      </w:r>
      <w:r>
        <w:rPr>
          <w:b/>
          <w:bCs/>
          <w:spacing w:val="11"/>
        </w:rPr>
        <w:t>科专业教学查房考核评</w:t>
      </w:r>
      <w:r>
        <w:rPr>
          <w:b/>
          <w:bCs/>
          <w:spacing w:val="10"/>
        </w:rPr>
        <w:t>分表</w:t>
      </w:r>
    </w:p>
    <w:p w14:paraId="658CD2C6">
      <w:pPr>
        <w:pStyle w:val="2"/>
        <w:spacing w:before="186" w:line="221" w:lineRule="auto"/>
        <w:ind w:left="2740"/>
        <w:outlineLvl w:val="0"/>
      </w:pPr>
      <w:r>
        <w:rPr>
          <w:b/>
          <w:bCs/>
          <w:spacing w:val="6"/>
        </w:rPr>
        <w:t>（督导专家/同行评议使用）</w:t>
      </w:r>
    </w:p>
    <w:p w14:paraId="0E2462B6">
      <w:pPr>
        <w:spacing w:before="39"/>
      </w:pPr>
    </w:p>
    <w:p w14:paraId="3AE7F2FC">
      <w:pPr>
        <w:spacing w:before="39"/>
      </w:pPr>
    </w:p>
    <w:p w14:paraId="6B3A64A9">
      <w:pPr>
        <w:spacing w:before="38"/>
      </w:pPr>
    </w:p>
    <w:tbl>
      <w:tblPr>
        <w:tblStyle w:val="5"/>
        <w:tblW w:w="7129" w:type="dxa"/>
        <w:tblInd w:w="60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132"/>
        <w:gridCol w:w="3650"/>
        <w:gridCol w:w="1347"/>
      </w:tblGrid>
      <w:tr w14:paraId="70AB657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4" w:hRule="atLeast"/>
        </w:trPr>
        <w:tc>
          <w:tcPr>
            <w:tcW w:w="2132" w:type="dxa"/>
            <w:vAlign w:val="top"/>
          </w:tcPr>
          <w:p w14:paraId="6B81425E">
            <w:pPr>
              <w:pStyle w:val="6"/>
              <w:spacing w:line="226" w:lineRule="auto"/>
              <w:ind w:left="2"/>
            </w:pPr>
            <w:r>
              <w:rPr>
                <w:spacing w:val="5"/>
              </w:rPr>
              <w:t>培训基地：</w:t>
            </w:r>
          </w:p>
        </w:tc>
        <w:tc>
          <w:tcPr>
            <w:tcW w:w="3650" w:type="dxa"/>
            <w:vAlign w:val="top"/>
          </w:tcPr>
          <w:p w14:paraId="660790A4">
            <w:pPr>
              <w:pStyle w:val="6"/>
              <w:spacing w:line="225" w:lineRule="auto"/>
              <w:ind w:left="1968"/>
            </w:pPr>
            <w:r>
              <w:rPr>
                <w:spacing w:val="6"/>
              </w:rPr>
              <w:t>专业基地/科室：</w:t>
            </w:r>
          </w:p>
        </w:tc>
        <w:tc>
          <w:tcPr>
            <w:tcW w:w="1347" w:type="dxa"/>
            <w:vAlign w:val="top"/>
          </w:tcPr>
          <w:p w14:paraId="6913999B">
            <w:pPr>
              <w:rPr>
                <w:rFonts w:ascii="Arial"/>
                <w:sz w:val="21"/>
              </w:rPr>
            </w:pPr>
          </w:p>
        </w:tc>
      </w:tr>
      <w:tr w14:paraId="2D64334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2132" w:type="dxa"/>
            <w:vAlign w:val="top"/>
          </w:tcPr>
          <w:p w14:paraId="6D7116C9">
            <w:pPr>
              <w:pStyle w:val="6"/>
              <w:spacing w:before="175" w:line="225" w:lineRule="auto"/>
              <w:ind w:left="2"/>
            </w:pPr>
            <w:r>
              <w:rPr>
                <w:spacing w:val="5"/>
              </w:rPr>
              <w:t>指导医师：</w:t>
            </w:r>
          </w:p>
        </w:tc>
        <w:tc>
          <w:tcPr>
            <w:tcW w:w="3650" w:type="dxa"/>
            <w:vAlign w:val="top"/>
          </w:tcPr>
          <w:p w14:paraId="736C0384">
            <w:pPr>
              <w:pStyle w:val="6"/>
              <w:spacing w:before="175" w:line="225" w:lineRule="auto"/>
              <w:ind w:left="832"/>
            </w:pPr>
            <w:r>
              <w:rPr>
                <w:spacing w:val="3"/>
              </w:rPr>
              <w:t>□主任医师</w:t>
            </w:r>
            <w:r>
              <w:rPr>
                <w:spacing w:val="15"/>
              </w:rPr>
              <w:t xml:space="preserve">    </w:t>
            </w:r>
            <w:r>
              <w:rPr>
                <w:spacing w:val="3"/>
              </w:rPr>
              <w:t>□副主任医师</w:t>
            </w:r>
          </w:p>
        </w:tc>
        <w:tc>
          <w:tcPr>
            <w:tcW w:w="1347" w:type="dxa"/>
            <w:vAlign w:val="top"/>
          </w:tcPr>
          <w:p w14:paraId="1CA26BD7">
            <w:pPr>
              <w:pStyle w:val="6"/>
              <w:spacing w:before="175" w:line="225" w:lineRule="auto"/>
              <w:ind w:left="122"/>
            </w:pPr>
            <w:r>
              <w:rPr>
                <w:spacing w:val="2"/>
              </w:rPr>
              <w:t>□主治医师</w:t>
            </w:r>
          </w:p>
        </w:tc>
      </w:tr>
      <w:tr w14:paraId="214F28B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2132" w:type="dxa"/>
            <w:vAlign w:val="top"/>
          </w:tcPr>
          <w:p w14:paraId="7A10AC15">
            <w:pPr>
              <w:pStyle w:val="6"/>
              <w:spacing w:before="176" w:line="225" w:lineRule="auto"/>
              <w:ind w:left="8"/>
            </w:pPr>
            <w:r>
              <w:rPr>
                <w:spacing w:val="5"/>
              </w:rPr>
              <w:t>主管住院医师：</w:t>
            </w:r>
          </w:p>
        </w:tc>
        <w:tc>
          <w:tcPr>
            <w:tcW w:w="3650" w:type="dxa"/>
            <w:vAlign w:val="top"/>
          </w:tcPr>
          <w:p w14:paraId="30FC2DA6">
            <w:pPr>
              <w:pStyle w:val="6"/>
              <w:spacing w:before="176" w:line="225" w:lineRule="auto"/>
              <w:ind w:left="832"/>
            </w:pPr>
            <w:r>
              <w:rPr>
                <w:spacing w:val="4"/>
              </w:rPr>
              <w:t>□住培第一年</w:t>
            </w:r>
            <w:r>
              <w:rPr>
                <w:spacing w:val="23"/>
              </w:rPr>
              <w:t xml:space="preserve">  </w:t>
            </w:r>
            <w:r>
              <w:rPr>
                <w:spacing w:val="4"/>
              </w:rPr>
              <w:t>□住培第二年</w:t>
            </w:r>
          </w:p>
        </w:tc>
        <w:tc>
          <w:tcPr>
            <w:tcW w:w="1347" w:type="dxa"/>
            <w:vAlign w:val="top"/>
          </w:tcPr>
          <w:p w14:paraId="0200C6F2">
            <w:pPr>
              <w:pStyle w:val="6"/>
              <w:spacing w:before="176" w:line="225" w:lineRule="auto"/>
              <w:jc w:val="right"/>
            </w:pPr>
            <w:r>
              <w:rPr>
                <w:spacing w:val="4"/>
              </w:rPr>
              <w:t>□住培第三年</w:t>
            </w:r>
          </w:p>
        </w:tc>
      </w:tr>
      <w:tr w14:paraId="106A61E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2132" w:type="dxa"/>
            <w:vAlign w:val="top"/>
          </w:tcPr>
          <w:p w14:paraId="474DF0D3">
            <w:pPr>
              <w:pStyle w:val="6"/>
              <w:spacing w:before="176" w:line="226" w:lineRule="auto"/>
            </w:pPr>
            <w:r>
              <w:rPr>
                <w:spacing w:val="7"/>
              </w:rPr>
              <w:t>教学查房主题：</w:t>
            </w:r>
          </w:p>
        </w:tc>
        <w:tc>
          <w:tcPr>
            <w:tcW w:w="3650" w:type="dxa"/>
            <w:vAlign w:val="top"/>
          </w:tcPr>
          <w:p w14:paraId="3DD6F41E">
            <w:pPr>
              <w:rPr>
                <w:rFonts w:ascii="Arial"/>
                <w:sz w:val="21"/>
              </w:rPr>
            </w:pPr>
          </w:p>
        </w:tc>
        <w:tc>
          <w:tcPr>
            <w:tcW w:w="1347" w:type="dxa"/>
            <w:vAlign w:val="top"/>
          </w:tcPr>
          <w:p w14:paraId="457D04C9">
            <w:pPr>
              <w:rPr>
                <w:rFonts w:ascii="Arial"/>
                <w:sz w:val="21"/>
              </w:rPr>
            </w:pPr>
          </w:p>
        </w:tc>
      </w:tr>
      <w:tr w14:paraId="509E768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4" w:hRule="atLeast"/>
        </w:trPr>
        <w:tc>
          <w:tcPr>
            <w:tcW w:w="2132" w:type="dxa"/>
            <w:vAlign w:val="top"/>
          </w:tcPr>
          <w:p w14:paraId="089A3433">
            <w:pPr>
              <w:pStyle w:val="6"/>
              <w:spacing w:before="175" w:line="183" w:lineRule="auto"/>
              <w:ind w:left="12"/>
            </w:pPr>
            <w:r>
              <w:rPr>
                <w:spacing w:val="4"/>
              </w:rPr>
              <w:t>患者病历号：</w:t>
            </w:r>
          </w:p>
        </w:tc>
        <w:tc>
          <w:tcPr>
            <w:tcW w:w="3650" w:type="dxa"/>
            <w:vAlign w:val="top"/>
          </w:tcPr>
          <w:p w14:paraId="72365247">
            <w:pPr>
              <w:pStyle w:val="6"/>
              <w:spacing w:before="175" w:line="183" w:lineRule="auto"/>
              <w:ind w:left="1865"/>
            </w:pPr>
            <w:r>
              <w:rPr>
                <w:spacing w:val="4"/>
              </w:rPr>
              <w:t>手术名称：</w:t>
            </w:r>
          </w:p>
        </w:tc>
        <w:tc>
          <w:tcPr>
            <w:tcW w:w="1347" w:type="dxa"/>
            <w:vAlign w:val="top"/>
          </w:tcPr>
          <w:p w14:paraId="55E65B0A">
            <w:pPr>
              <w:rPr>
                <w:rFonts w:ascii="Arial"/>
                <w:sz w:val="21"/>
              </w:rPr>
            </w:pPr>
          </w:p>
        </w:tc>
      </w:tr>
    </w:tbl>
    <w:p w14:paraId="1BD97ECF">
      <w:pPr>
        <w:spacing w:line="84" w:lineRule="exact"/>
      </w:pPr>
    </w:p>
    <w:tbl>
      <w:tblPr>
        <w:tblStyle w:val="5"/>
        <w:tblW w:w="99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8"/>
        <w:gridCol w:w="6847"/>
        <w:gridCol w:w="600"/>
        <w:gridCol w:w="589"/>
        <w:gridCol w:w="767"/>
      </w:tblGrid>
      <w:tr w14:paraId="78411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1128" w:type="dxa"/>
            <w:vAlign w:val="top"/>
          </w:tcPr>
          <w:p w14:paraId="14C9077D">
            <w:pPr>
              <w:pStyle w:val="6"/>
              <w:spacing w:before="286" w:line="225" w:lineRule="auto"/>
              <w:ind w:left="144"/>
            </w:pPr>
            <w:r>
              <w:rPr>
                <w:b/>
                <w:bCs/>
                <w:spacing w:val="7"/>
              </w:rPr>
              <w:t>考核项目</w:t>
            </w:r>
          </w:p>
        </w:tc>
        <w:tc>
          <w:tcPr>
            <w:tcW w:w="6847" w:type="dxa"/>
            <w:vAlign w:val="top"/>
          </w:tcPr>
          <w:p w14:paraId="6A8AB101">
            <w:pPr>
              <w:spacing w:line="313" w:lineRule="auto"/>
              <w:rPr>
                <w:rFonts w:ascii="Arial"/>
                <w:sz w:val="21"/>
              </w:rPr>
            </w:pPr>
          </w:p>
          <w:p w14:paraId="75080F80">
            <w:pPr>
              <w:pStyle w:val="6"/>
              <w:spacing w:before="65" w:line="225" w:lineRule="auto"/>
              <w:ind w:left="3037"/>
            </w:pPr>
            <w:r>
              <w:rPr>
                <w:b/>
                <w:bCs/>
                <w:spacing w:val="-1"/>
              </w:rPr>
              <w:t>内容要求</w:t>
            </w:r>
          </w:p>
        </w:tc>
        <w:tc>
          <w:tcPr>
            <w:tcW w:w="600" w:type="dxa"/>
            <w:vAlign w:val="top"/>
          </w:tcPr>
          <w:p w14:paraId="2A58DBE5">
            <w:pPr>
              <w:pStyle w:val="6"/>
              <w:spacing w:before="286" w:line="225" w:lineRule="auto"/>
              <w:ind w:left="105"/>
            </w:pPr>
            <w:r>
              <w:rPr>
                <w:b/>
                <w:bCs/>
                <w:spacing w:val="-1"/>
              </w:rPr>
              <w:t>满分</w:t>
            </w:r>
          </w:p>
        </w:tc>
        <w:tc>
          <w:tcPr>
            <w:tcW w:w="589" w:type="dxa"/>
            <w:vAlign w:val="top"/>
          </w:tcPr>
          <w:p w14:paraId="7FC15AFD">
            <w:pPr>
              <w:pStyle w:val="6"/>
              <w:spacing w:before="286" w:line="225" w:lineRule="auto"/>
              <w:ind w:left="95"/>
            </w:pPr>
            <w:r>
              <w:rPr>
                <w:b/>
                <w:bCs/>
                <w:spacing w:val="2"/>
              </w:rPr>
              <w:t>得分</w:t>
            </w:r>
          </w:p>
        </w:tc>
        <w:tc>
          <w:tcPr>
            <w:tcW w:w="767" w:type="dxa"/>
            <w:vAlign w:val="top"/>
          </w:tcPr>
          <w:p w14:paraId="4A4D2096">
            <w:pPr>
              <w:pStyle w:val="6"/>
              <w:spacing w:before="150" w:line="238" w:lineRule="auto"/>
              <w:ind w:left="182" w:right="172"/>
            </w:pPr>
            <w:r>
              <w:rPr>
                <w:b/>
                <w:bCs/>
              </w:rPr>
              <w:t>扣分</w:t>
            </w:r>
            <w:r>
              <w:t xml:space="preserve"> </w:t>
            </w:r>
            <w:r>
              <w:rPr>
                <w:b/>
                <w:bCs/>
                <w:spacing w:val="1"/>
              </w:rPr>
              <w:t>原因</w:t>
            </w:r>
          </w:p>
        </w:tc>
      </w:tr>
      <w:tr w14:paraId="6A166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1128" w:type="dxa"/>
            <w:vMerge w:val="restart"/>
            <w:tcBorders>
              <w:bottom w:val="nil"/>
            </w:tcBorders>
            <w:vAlign w:val="top"/>
          </w:tcPr>
          <w:p w14:paraId="02579147">
            <w:pPr>
              <w:spacing w:line="274" w:lineRule="auto"/>
              <w:rPr>
                <w:rFonts w:ascii="Arial"/>
                <w:sz w:val="21"/>
              </w:rPr>
            </w:pPr>
          </w:p>
          <w:p w14:paraId="5CF3E6AA">
            <w:pPr>
              <w:spacing w:line="274" w:lineRule="auto"/>
              <w:rPr>
                <w:rFonts w:ascii="Arial"/>
                <w:sz w:val="21"/>
              </w:rPr>
            </w:pPr>
          </w:p>
          <w:p w14:paraId="6D43416A">
            <w:pPr>
              <w:spacing w:line="274" w:lineRule="auto"/>
              <w:rPr>
                <w:rFonts w:ascii="Arial"/>
                <w:sz w:val="21"/>
              </w:rPr>
            </w:pPr>
          </w:p>
          <w:p w14:paraId="58522341">
            <w:pPr>
              <w:spacing w:line="275" w:lineRule="auto"/>
              <w:rPr>
                <w:rFonts w:ascii="Arial"/>
                <w:sz w:val="21"/>
              </w:rPr>
            </w:pPr>
          </w:p>
          <w:p w14:paraId="268AB107">
            <w:pPr>
              <w:spacing w:line="275" w:lineRule="auto"/>
              <w:rPr>
                <w:rFonts w:ascii="Arial"/>
                <w:sz w:val="21"/>
              </w:rPr>
            </w:pPr>
          </w:p>
          <w:p w14:paraId="01A0F4CB">
            <w:pPr>
              <w:pStyle w:val="6"/>
              <w:spacing w:before="65" w:line="502" w:lineRule="auto"/>
              <w:ind w:left="119" w:right="122" w:firstLine="30"/>
            </w:pPr>
            <w:r>
              <w:rPr>
                <w:spacing w:val="7"/>
              </w:rPr>
              <w:t>查房准备</w:t>
            </w:r>
            <w:r>
              <w:t xml:space="preserve"> </w:t>
            </w:r>
            <w:r>
              <w:rPr>
                <w:spacing w:val="-6"/>
              </w:rPr>
              <w:t>（</w:t>
            </w:r>
            <w:r>
              <w:rPr>
                <w:spacing w:val="-51"/>
              </w:rPr>
              <w:t xml:space="preserve"> </w:t>
            </w:r>
            <w:r>
              <w:rPr>
                <w:spacing w:val="-6"/>
              </w:rPr>
              <w:t>20</w:t>
            </w:r>
            <w:r>
              <w:rPr>
                <w:spacing w:val="-39"/>
              </w:rPr>
              <w:t xml:space="preserve"> </w:t>
            </w:r>
            <w:r>
              <w:rPr>
                <w:spacing w:val="-6"/>
              </w:rPr>
              <w:t>分）</w:t>
            </w:r>
          </w:p>
        </w:tc>
        <w:tc>
          <w:tcPr>
            <w:tcW w:w="6847" w:type="dxa"/>
            <w:vAlign w:val="top"/>
          </w:tcPr>
          <w:p w14:paraId="4142F0D7">
            <w:pPr>
              <w:spacing w:line="282" w:lineRule="auto"/>
              <w:rPr>
                <w:rFonts w:ascii="Arial"/>
                <w:sz w:val="21"/>
              </w:rPr>
            </w:pPr>
          </w:p>
          <w:p w14:paraId="42FF32F8">
            <w:pPr>
              <w:pStyle w:val="6"/>
              <w:spacing w:before="65" w:line="427" w:lineRule="auto"/>
              <w:ind w:left="304" w:right="458" w:hanging="197"/>
            </w:pPr>
            <w:r>
              <w:rPr>
                <w:spacing w:val="9"/>
              </w:rPr>
              <w:t>1.指导医师准备充分：资质符合要求；教学查房所需教学资</w:t>
            </w:r>
            <w:r>
              <w:rPr>
                <w:spacing w:val="8"/>
              </w:rPr>
              <w:t>料准备充</w:t>
            </w:r>
            <w:r>
              <w:t xml:space="preserve"> </w:t>
            </w:r>
            <w:r>
              <w:rPr>
                <w:spacing w:val="9"/>
              </w:rPr>
              <w:t>分，将患者信息提前提供给住院医师</w:t>
            </w:r>
          </w:p>
        </w:tc>
        <w:tc>
          <w:tcPr>
            <w:tcW w:w="600" w:type="dxa"/>
            <w:vAlign w:val="top"/>
          </w:tcPr>
          <w:p w14:paraId="71AA778A">
            <w:pPr>
              <w:spacing w:line="294" w:lineRule="auto"/>
              <w:rPr>
                <w:rFonts w:ascii="Arial"/>
                <w:sz w:val="21"/>
              </w:rPr>
            </w:pPr>
          </w:p>
          <w:p w14:paraId="2BB8D454">
            <w:pPr>
              <w:spacing w:line="294" w:lineRule="auto"/>
              <w:rPr>
                <w:rFonts w:ascii="Arial"/>
                <w:sz w:val="21"/>
              </w:rPr>
            </w:pPr>
          </w:p>
          <w:p w14:paraId="304173E0">
            <w:pPr>
              <w:pStyle w:val="6"/>
              <w:spacing w:before="65" w:line="187" w:lineRule="auto"/>
              <w:ind w:left="264"/>
            </w:pPr>
            <w:r>
              <w:t>6</w:t>
            </w:r>
          </w:p>
        </w:tc>
        <w:tc>
          <w:tcPr>
            <w:tcW w:w="589" w:type="dxa"/>
            <w:vAlign w:val="top"/>
          </w:tcPr>
          <w:p w14:paraId="054E4956">
            <w:pPr>
              <w:rPr>
                <w:rFonts w:ascii="Arial"/>
                <w:sz w:val="21"/>
              </w:rPr>
            </w:pPr>
          </w:p>
        </w:tc>
        <w:tc>
          <w:tcPr>
            <w:tcW w:w="767" w:type="dxa"/>
            <w:vAlign w:val="top"/>
          </w:tcPr>
          <w:p w14:paraId="0099FDD4">
            <w:pPr>
              <w:rPr>
                <w:rFonts w:ascii="Arial"/>
                <w:sz w:val="21"/>
              </w:rPr>
            </w:pPr>
          </w:p>
        </w:tc>
      </w:tr>
      <w:tr w14:paraId="50FA2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128" w:type="dxa"/>
            <w:vMerge w:val="continue"/>
            <w:tcBorders>
              <w:top w:val="nil"/>
              <w:bottom w:val="nil"/>
            </w:tcBorders>
            <w:vAlign w:val="top"/>
          </w:tcPr>
          <w:p w14:paraId="24580F7A">
            <w:pPr>
              <w:rPr>
                <w:rFonts w:ascii="Arial"/>
                <w:sz w:val="21"/>
              </w:rPr>
            </w:pPr>
          </w:p>
        </w:tc>
        <w:tc>
          <w:tcPr>
            <w:tcW w:w="6847" w:type="dxa"/>
            <w:vAlign w:val="top"/>
          </w:tcPr>
          <w:p w14:paraId="45283921">
            <w:pPr>
              <w:spacing w:line="285" w:lineRule="auto"/>
              <w:rPr>
                <w:rFonts w:ascii="Arial"/>
                <w:sz w:val="21"/>
              </w:rPr>
            </w:pPr>
          </w:p>
          <w:p w14:paraId="6F2A8469">
            <w:pPr>
              <w:pStyle w:val="6"/>
              <w:spacing w:before="65" w:line="225" w:lineRule="auto"/>
              <w:ind w:left="92"/>
            </w:pPr>
            <w:r>
              <w:rPr>
                <w:spacing w:val="9"/>
              </w:rPr>
              <w:t>2.教学目标明确，表达规范，教学查房时间分配合理，明确重点和难点</w:t>
            </w:r>
          </w:p>
        </w:tc>
        <w:tc>
          <w:tcPr>
            <w:tcW w:w="600" w:type="dxa"/>
            <w:vAlign w:val="top"/>
          </w:tcPr>
          <w:p w14:paraId="2DFAFEF0">
            <w:pPr>
              <w:spacing w:line="311" w:lineRule="auto"/>
              <w:rPr>
                <w:rFonts w:ascii="Arial"/>
                <w:sz w:val="21"/>
              </w:rPr>
            </w:pPr>
          </w:p>
          <w:p w14:paraId="0C103307">
            <w:pPr>
              <w:pStyle w:val="6"/>
              <w:spacing w:before="65" w:line="187" w:lineRule="auto"/>
              <w:ind w:left="264"/>
            </w:pPr>
            <w:r>
              <w:t>6</w:t>
            </w:r>
          </w:p>
        </w:tc>
        <w:tc>
          <w:tcPr>
            <w:tcW w:w="589" w:type="dxa"/>
            <w:vAlign w:val="top"/>
          </w:tcPr>
          <w:p w14:paraId="2DEA0DB6">
            <w:pPr>
              <w:rPr>
                <w:rFonts w:ascii="Arial"/>
                <w:sz w:val="21"/>
              </w:rPr>
            </w:pPr>
          </w:p>
        </w:tc>
        <w:tc>
          <w:tcPr>
            <w:tcW w:w="767" w:type="dxa"/>
            <w:vAlign w:val="top"/>
          </w:tcPr>
          <w:p w14:paraId="2C2D7E58">
            <w:pPr>
              <w:rPr>
                <w:rFonts w:ascii="Arial"/>
                <w:sz w:val="21"/>
              </w:rPr>
            </w:pPr>
          </w:p>
        </w:tc>
      </w:tr>
      <w:tr w14:paraId="758EF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128" w:type="dxa"/>
            <w:vMerge w:val="continue"/>
            <w:tcBorders>
              <w:top w:val="nil"/>
              <w:bottom w:val="nil"/>
            </w:tcBorders>
            <w:vAlign w:val="top"/>
          </w:tcPr>
          <w:p w14:paraId="36472E50">
            <w:pPr>
              <w:rPr>
                <w:rFonts w:ascii="Arial"/>
                <w:sz w:val="21"/>
              </w:rPr>
            </w:pPr>
          </w:p>
        </w:tc>
        <w:tc>
          <w:tcPr>
            <w:tcW w:w="6847" w:type="dxa"/>
            <w:vAlign w:val="top"/>
          </w:tcPr>
          <w:p w14:paraId="1FFA04BA">
            <w:pPr>
              <w:spacing w:line="284" w:lineRule="auto"/>
              <w:rPr>
                <w:rFonts w:ascii="Arial"/>
                <w:sz w:val="21"/>
              </w:rPr>
            </w:pPr>
          </w:p>
          <w:p w14:paraId="02BE514B">
            <w:pPr>
              <w:pStyle w:val="6"/>
              <w:spacing w:before="65" w:line="223" w:lineRule="auto"/>
              <w:ind w:left="100"/>
            </w:pPr>
            <w:r>
              <w:rPr>
                <w:spacing w:val="9"/>
              </w:rPr>
              <w:t>3.选择的病例适合，与患者提前交流，并取</w:t>
            </w:r>
            <w:r>
              <w:rPr>
                <w:spacing w:val="8"/>
              </w:rPr>
              <w:t>得患者及家属知情同意</w:t>
            </w:r>
          </w:p>
        </w:tc>
        <w:tc>
          <w:tcPr>
            <w:tcW w:w="600" w:type="dxa"/>
            <w:vAlign w:val="top"/>
          </w:tcPr>
          <w:p w14:paraId="575D1F70">
            <w:pPr>
              <w:spacing w:line="311" w:lineRule="auto"/>
              <w:rPr>
                <w:rFonts w:ascii="Arial"/>
                <w:sz w:val="21"/>
              </w:rPr>
            </w:pPr>
          </w:p>
          <w:p w14:paraId="43CBBA55">
            <w:pPr>
              <w:pStyle w:val="6"/>
              <w:spacing w:before="65" w:line="185" w:lineRule="auto"/>
              <w:ind w:left="262"/>
            </w:pPr>
            <w:r>
              <w:t>4</w:t>
            </w:r>
          </w:p>
        </w:tc>
        <w:tc>
          <w:tcPr>
            <w:tcW w:w="589" w:type="dxa"/>
            <w:vAlign w:val="top"/>
          </w:tcPr>
          <w:p w14:paraId="17522010">
            <w:pPr>
              <w:rPr>
                <w:rFonts w:ascii="Arial"/>
                <w:sz w:val="21"/>
              </w:rPr>
            </w:pPr>
          </w:p>
        </w:tc>
        <w:tc>
          <w:tcPr>
            <w:tcW w:w="767" w:type="dxa"/>
            <w:vAlign w:val="top"/>
          </w:tcPr>
          <w:p w14:paraId="3F025E28">
            <w:pPr>
              <w:rPr>
                <w:rFonts w:ascii="Arial"/>
                <w:sz w:val="21"/>
              </w:rPr>
            </w:pPr>
          </w:p>
        </w:tc>
      </w:tr>
      <w:tr w14:paraId="62A4A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128" w:type="dxa"/>
            <w:vMerge w:val="continue"/>
            <w:tcBorders>
              <w:top w:val="nil"/>
            </w:tcBorders>
            <w:vAlign w:val="top"/>
          </w:tcPr>
          <w:p w14:paraId="2C03BA08">
            <w:pPr>
              <w:rPr>
                <w:rFonts w:ascii="Arial"/>
                <w:sz w:val="21"/>
              </w:rPr>
            </w:pPr>
          </w:p>
        </w:tc>
        <w:tc>
          <w:tcPr>
            <w:tcW w:w="6847" w:type="dxa"/>
            <w:vAlign w:val="top"/>
          </w:tcPr>
          <w:p w14:paraId="1C0C1551">
            <w:pPr>
              <w:spacing w:line="284" w:lineRule="auto"/>
              <w:rPr>
                <w:rFonts w:ascii="Arial"/>
                <w:sz w:val="21"/>
              </w:rPr>
            </w:pPr>
          </w:p>
          <w:p w14:paraId="1B6B54DF">
            <w:pPr>
              <w:pStyle w:val="6"/>
              <w:spacing w:before="65" w:line="224" w:lineRule="auto"/>
              <w:ind w:left="91"/>
            </w:pPr>
            <w:r>
              <w:rPr>
                <w:spacing w:val="9"/>
              </w:rPr>
              <w:t>4.教学查房的环境及设施符合要求，查体所需</w:t>
            </w:r>
            <w:r>
              <w:rPr>
                <w:spacing w:val="8"/>
              </w:rPr>
              <w:t>物品齐备</w:t>
            </w:r>
          </w:p>
        </w:tc>
        <w:tc>
          <w:tcPr>
            <w:tcW w:w="600" w:type="dxa"/>
            <w:vAlign w:val="top"/>
          </w:tcPr>
          <w:p w14:paraId="67A9EF78">
            <w:pPr>
              <w:spacing w:line="311" w:lineRule="auto"/>
              <w:rPr>
                <w:rFonts w:ascii="Arial"/>
                <w:sz w:val="21"/>
              </w:rPr>
            </w:pPr>
          </w:p>
          <w:p w14:paraId="09EFA5DB">
            <w:pPr>
              <w:pStyle w:val="6"/>
              <w:spacing w:before="65" w:line="185" w:lineRule="auto"/>
              <w:ind w:left="262"/>
            </w:pPr>
            <w:r>
              <w:t>4</w:t>
            </w:r>
          </w:p>
        </w:tc>
        <w:tc>
          <w:tcPr>
            <w:tcW w:w="589" w:type="dxa"/>
            <w:vAlign w:val="top"/>
          </w:tcPr>
          <w:p w14:paraId="26E675AB">
            <w:pPr>
              <w:rPr>
                <w:rFonts w:ascii="Arial"/>
                <w:sz w:val="21"/>
              </w:rPr>
            </w:pPr>
          </w:p>
        </w:tc>
        <w:tc>
          <w:tcPr>
            <w:tcW w:w="767" w:type="dxa"/>
            <w:vAlign w:val="top"/>
          </w:tcPr>
          <w:p w14:paraId="05A0ECFE">
            <w:pPr>
              <w:rPr>
                <w:rFonts w:ascii="Arial"/>
                <w:sz w:val="21"/>
              </w:rPr>
            </w:pPr>
          </w:p>
        </w:tc>
      </w:tr>
      <w:tr w14:paraId="61898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1128" w:type="dxa"/>
            <w:vMerge w:val="restart"/>
            <w:tcBorders>
              <w:bottom w:val="nil"/>
            </w:tcBorders>
            <w:vAlign w:val="top"/>
          </w:tcPr>
          <w:p w14:paraId="0D8A4920">
            <w:pPr>
              <w:spacing w:line="241" w:lineRule="auto"/>
              <w:rPr>
                <w:rFonts w:ascii="Arial"/>
                <w:sz w:val="21"/>
              </w:rPr>
            </w:pPr>
          </w:p>
          <w:p w14:paraId="0F43196E">
            <w:pPr>
              <w:spacing w:line="241" w:lineRule="auto"/>
              <w:rPr>
                <w:rFonts w:ascii="Arial"/>
                <w:sz w:val="21"/>
              </w:rPr>
            </w:pPr>
          </w:p>
          <w:p w14:paraId="2D6E2225">
            <w:pPr>
              <w:spacing w:line="241" w:lineRule="auto"/>
              <w:rPr>
                <w:rFonts w:ascii="Arial"/>
                <w:sz w:val="21"/>
              </w:rPr>
            </w:pPr>
          </w:p>
          <w:p w14:paraId="62FCF2C3">
            <w:pPr>
              <w:spacing w:line="241" w:lineRule="auto"/>
              <w:rPr>
                <w:rFonts w:ascii="Arial"/>
                <w:sz w:val="21"/>
              </w:rPr>
            </w:pPr>
          </w:p>
          <w:p w14:paraId="2FE2A6CB">
            <w:pPr>
              <w:spacing w:line="241" w:lineRule="auto"/>
              <w:rPr>
                <w:rFonts w:ascii="Arial"/>
                <w:sz w:val="21"/>
              </w:rPr>
            </w:pPr>
          </w:p>
          <w:p w14:paraId="50E48202">
            <w:pPr>
              <w:spacing w:line="241" w:lineRule="auto"/>
              <w:rPr>
                <w:rFonts w:ascii="Arial"/>
                <w:sz w:val="21"/>
              </w:rPr>
            </w:pPr>
          </w:p>
          <w:p w14:paraId="079DC81C">
            <w:pPr>
              <w:spacing w:line="241" w:lineRule="auto"/>
              <w:rPr>
                <w:rFonts w:ascii="Arial"/>
                <w:sz w:val="21"/>
              </w:rPr>
            </w:pPr>
          </w:p>
          <w:p w14:paraId="45E9D6CD">
            <w:pPr>
              <w:spacing w:line="241" w:lineRule="auto"/>
              <w:rPr>
                <w:rFonts w:ascii="Arial"/>
                <w:sz w:val="21"/>
              </w:rPr>
            </w:pPr>
          </w:p>
          <w:p w14:paraId="2C7B8009">
            <w:pPr>
              <w:pStyle w:val="6"/>
              <w:spacing w:before="65" w:line="502" w:lineRule="auto"/>
              <w:ind w:left="119" w:right="122" w:firstLine="30"/>
            </w:pPr>
            <w:r>
              <w:rPr>
                <w:spacing w:val="7"/>
              </w:rPr>
              <w:t>查房实施</w:t>
            </w:r>
            <w:r>
              <w:t xml:space="preserve"> </w:t>
            </w:r>
            <w:r>
              <w:rPr>
                <w:spacing w:val="-6"/>
              </w:rPr>
              <w:t>（</w:t>
            </w:r>
            <w:r>
              <w:rPr>
                <w:spacing w:val="-51"/>
              </w:rPr>
              <w:t xml:space="preserve"> </w:t>
            </w:r>
            <w:r>
              <w:rPr>
                <w:spacing w:val="-6"/>
              </w:rPr>
              <w:t>50</w:t>
            </w:r>
            <w:r>
              <w:rPr>
                <w:spacing w:val="-39"/>
              </w:rPr>
              <w:t xml:space="preserve"> </w:t>
            </w:r>
            <w:r>
              <w:rPr>
                <w:spacing w:val="-6"/>
              </w:rPr>
              <w:t>分）</w:t>
            </w:r>
          </w:p>
        </w:tc>
        <w:tc>
          <w:tcPr>
            <w:tcW w:w="6847" w:type="dxa"/>
            <w:vAlign w:val="top"/>
          </w:tcPr>
          <w:p w14:paraId="535861DD">
            <w:pPr>
              <w:spacing w:line="284" w:lineRule="auto"/>
              <w:rPr>
                <w:rFonts w:ascii="Arial"/>
                <w:sz w:val="21"/>
              </w:rPr>
            </w:pPr>
          </w:p>
          <w:p w14:paraId="2DDDFDFE">
            <w:pPr>
              <w:pStyle w:val="6"/>
              <w:spacing w:before="65" w:line="426" w:lineRule="auto"/>
              <w:ind w:left="300" w:right="76" w:hanging="184"/>
            </w:pPr>
            <w:r>
              <w:rPr>
                <w:spacing w:val="14"/>
              </w:rPr>
              <w:t>1.示教室中指导医师与住院医师相互介绍，指导医师交代教学查房的目</w:t>
            </w:r>
            <w:r>
              <w:t xml:space="preserve"> </w:t>
            </w:r>
            <w:r>
              <w:rPr>
                <w:spacing w:val="9"/>
              </w:rPr>
              <w:t>标、流程和时间安排、要求与注意事项</w:t>
            </w:r>
          </w:p>
        </w:tc>
        <w:tc>
          <w:tcPr>
            <w:tcW w:w="600" w:type="dxa"/>
            <w:vAlign w:val="top"/>
          </w:tcPr>
          <w:p w14:paraId="35475C71">
            <w:pPr>
              <w:spacing w:line="296" w:lineRule="auto"/>
              <w:rPr>
                <w:rFonts w:ascii="Arial"/>
                <w:sz w:val="21"/>
              </w:rPr>
            </w:pPr>
          </w:p>
          <w:p w14:paraId="1A0EA7CC">
            <w:pPr>
              <w:spacing w:line="296" w:lineRule="auto"/>
              <w:rPr>
                <w:rFonts w:ascii="Arial"/>
                <w:sz w:val="21"/>
              </w:rPr>
            </w:pPr>
          </w:p>
          <w:p w14:paraId="65D28FFD">
            <w:pPr>
              <w:pStyle w:val="6"/>
              <w:spacing w:before="65" w:line="184" w:lineRule="auto"/>
              <w:ind w:left="265"/>
            </w:pPr>
            <w:r>
              <w:t>5</w:t>
            </w:r>
          </w:p>
        </w:tc>
        <w:tc>
          <w:tcPr>
            <w:tcW w:w="589" w:type="dxa"/>
            <w:vAlign w:val="top"/>
          </w:tcPr>
          <w:p w14:paraId="536BFCAD">
            <w:pPr>
              <w:rPr>
                <w:rFonts w:ascii="Arial"/>
                <w:sz w:val="21"/>
              </w:rPr>
            </w:pPr>
          </w:p>
        </w:tc>
        <w:tc>
          <w:tcPr>
            <w:tcW w:w="767" w:type="dxa"/>
            <w:vAlign w:val="top"/>
          </w:tcPr>
          <w:p w14:paraId="30E08185">
            <w:pPr>
              <w:rPr>
                <w:rFonts w:ascii="Arial"/>
                <w:sz w:val="21"/>
              </w:rPr>
            </w:pPr>
          </w:p>
        </w:tc>
      </w:tr>
      <w:tr w14:paraId="3A0E5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1128" w:type="dxa"/>
            <w:vMerge w:val="continue"/>
            <w:tcBorders>
              <w:top w:val="nil"/>
              <w:bottom w:val="nil"/>
            </w:tcBorders>
            <w:vAlign w:val="top"/>
          </w:tcPr>
          <w:p w14:paraId="7952F8B6">
            <w:pPr>
              <w:rPr>
                <w:rFonts w:ascii="Arial"/>
                <w:sz w:val="21"/>
              </w:rPr>
            </w:pPr>
          </w:p>
        </w:tc>
        <w:tc>
          <w:tcPr>
            <w:tcW w:w="6847" w:type="dxa"/>
            <w:vAlign w:val="top"/>
          </w:tcPr>
          <w:p w14:paraId="24193DB6">
            <w:pPr>
              <w:spacing w:line="286" w:lineRule="auto"/>
              <w:rPr>
                <w:rFonts w:ascii="Arial"/>
                <w:sz w:val="21"/>
              </w:rPr>
            </w:pPr>
          </w:p>
          <w:p w14:paraId="784A8501">
            <w:pPr>
              <w:pStyle w:val="6"/>
              <w:spacing w:before="65" w:line="425" w:lineRule="auto"/>
              <w:ind w:left="326" w:right="76" w:hanging="215"/>
            </w:pPr>
            <w:r>
              <w:rPr>
                <w:spacing w:val="12"/>
              </w:rPr>
              <w:t>2.主管住院医师脱稿汇报病例，</w:t>
            </w:r>
            <w:r>
              <w:rPr>
                <w:spacing w:val="-32"/>
              </w:rPr>
              <w:t xml:space="preserve"> </w:t>
            </w:r>
            <w:r>
              <w:rPr>
                <w:spacing w:val="12"/>
              </w:rPr>
              <w:t>内容全面、条理清晰、重点突出；指导</w:t>
            </w:r>
            <w:r>
              <w:t xml:space="preserve"> </w:t>
            </w:r>
            <w:r>
              <w:rPr>
                <w:spacing w:val="5"/>
              </w:rPr>
              <w:t>医师床旁核实病史</w:t>
            </w:r>
          </w:p>
        </w:tc>
        <w:tc>
          <w:tcPr>
            <w:tcW w:w="600" w:type="dxa"/>
            <w:vAlign w:val="top"/>
          </w:tcPr>
          <w:p w14:paraId="3617EC4B">
            <w:pPr>
              <w:spacing w:line="296" w:lineRule="auto"/>
              <w:rPr>
                <w:rFonts w:ascii="Arial"/>
                <w:sz w:val="21"/>
              </w:rPr>
            </w:pPr>
          </w:p>
          <w:p w14:paraId="22A99A33">
            <w:pPr>
              <w:spacing w:line="296" w:lineRule="auto"/>
              <w:rPr>
                <w:rFonts w:ascii="Arial"/>
                <w:sz w:val="21"/>
              </w:rPr>
            </w:pPr>
          </w:p>
          <w:p w14:paraId="48634009">
            <w:pPr>
              <w:pStyle w:val="6"/>
              <w:spacing w:before="65" w:line="184" w:lineRule="auto"/>
              <w:ind w:left="265"/>
            </w:pPr>
            <w:r>
              <w:t>5</w:t>
            </w:r>
          </w:p>
        </w:tc>
        <w:tc>
          <w:tcPr>
            <w:tcW w:w="589" w:type="dxa"/>
            <w:vAlign w:val="top"/>
          </w:tcPr>
          <w:p w14:paraId="415495D1">
            <w:pPr>
              <w:rPr>
                <w:rFonts w:ascii="Arial"/>
                <w:sz w:val="21"/>
              </w:rPr>
            </w:pPr>
          </w:p>
        </w:tc>
        <w:tc>
          <w:tcPr>
            <w:tcW w:w="767" w:type="dxa"/>
            <w:vAlign w:val="top"/>
          </w:tcPr>
          <w:p w14:paraId="616BEB76">
            <w:pPr>
              <w:rPr>
                <w:rFonts w:ascii="Arial"/>
                <w:sz w:val="21"/>
              </w:rPr>
            </w:pPr>
          </w:p>
        </w:tc>
      </w:tr>
      <w:tr w14:paraId="4AD73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1128" w:type="dxa"/>
            <w:vMerge w:val="continue"/>
            <w:tcBorders>
              <w:top w:val="nil"/>
              <w:bottom w:val="nil"/>
            </w:tcBorders>
            <w:vAlign w:val="top"/>
          </w:tcPr>
          <w:p w14:paraId="5CB7E424">
            <w:pPr>
              <w:rPr>
                <w:rFonts w:ascii="Arial"/>
                <w:sz w:val="21"/>
              </w:rPr>
            </w:pPr>
          </w:p>
        </w:tc>
        <w:tc>
          <w:tcPr>
            <w:tcW w:w="6847" w:type="dxa"/>
            <w:vAlign w:val="top"/>
          </w:tcPr>
          <w:p w14:paraId="3B91E909">
            <w:pPr>
              <w:spacing w:line="284" w:lineRule="auto"/>
              <w:rPr>
                <w:rFonts w:ascii="Arial"/>
                <w:sz w:val="21"/>
              </w:rPr>
            </w:pPr>
          </w:p>
          <w:p w14:paraId="5226A49B">
            <w:pPr>
              <w:pStyle w:val="6"/>
              <w:spacing w:before="65" w:line="426" w:lineRule="auto"/>
              <w:ind w:left="308" w:right="76" w:hanging="198"/>
            </w:pPr>
            <w:r>
              <w:rPr>
                <w:spacing w:val="14"/>
              </w:rPr>
              <w:t>3.提出明确的重要脏器功能的检测及麻醉专科查体要求，指导医师认真</w:t>
            </w:r>
            <w:r>
              <w:rPr>
                <w:spacing w:val="5"/>
              </w:rPr>
              <w:t xml:space="preserve"> </w:t>
            </w:r>
            <w:r>
              <w:rPr>
                <w:spacing w:val="8"/>
              </w:rPr>
              <w:t>观察住院医师实施过程并示范</w:t>
            </w:r>
          </w:p>
        </w:tc>
        <w:tc>
          <w:tcPr>
            <w:tcW w:w="600" w:type="dxa"/>
            <w:vAlign w:val="top"/>
          </w:tcPr>
          <w:p w14:paraId="54E37BA0">
            <w:pPr>
              <w:spacing w:line="297" w:lineRule="auto"/>
              <w:rPr>
                <w:rFonts w:ascii="Arial"/>
                <w:sz w:val="21"/>
              </w:rPr>
            </w:pPr>
          </w:p>
          <w:p w14:paraId="54428208">
            <w:pPr>
              <w:spacing w:line="297" w:lineRule="auto"/>
              <w:rPr>
                <w:rFonts w:ascii="Arial"/>
                <w:sz w:val="21"/>
              </w:rPr>
            </w:pPr>
          </w:p>
          <w:p w14:paraId="64E7E1CC">
            <w:pPr>
              <w:pStyle w:val="6"/>
              <w:spacing w:before="65" w:line="184" w:lineRule="auto"/>
              <w:ind w:left="265"/>
            </w:pPr>
            <w:r>
              <w:t>5</w:t>
            </w:r>
          </w:p>
        </w:tc>
        <w:tc>
          <w:tcPr>
            <w:tcW w:w="589" w:type="dxa"/>
            <w:vAlign w:val="top"/>
          </w:tcPr>
          <w:p w14:paraId="2382D58A">
            <w:pPr>
              <w:rPr>
                <w:rFonts w:ascii="Arial"/>
                <w:sz w:val="21"/>
              </w:rPr>
            </w:pPr>
          </w:p>
        </w:tc>
        <w:tc>
          <w:tcPr>
            <w:tcW w:w="767" w:type="dxa"/>
            <w:vAlign w:val="top"/>
          </w:tcPr>
          <w:p w14:paraId="65F4444E">
            <w:pPr>
              <w:rPr>
                <w:rFonts w:ascii="Arial"/>
                <w:sz w:val="21"/>
              </w:rPr>
            </w:pPr>
          </w:p>
        </w:tc>
      </w:tr>
      <w:tr w14:paraId="5C3EC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128" w:type="dxa"/>
            <w:vMerge w:val="continue"/>
            <w:tcBorders>
              <w:top w:val="nil"/>
            </w:tcBorders>
            <w:vAlign w:val="top"/>
          </w:tcPr>
          <w:p w14:paraId="14B738CB">
            <w:pPr>
              <w:rPr>
                <w:rFonts w:ascii="Arial"/>
                <w:sz w:val="21"/>
              </w:rPr>
            </w:pPr>
          </w:p>
        </w:tc>
        <w:tc>
          <w:tcPr>
            <w:tcW w:w="6847" w:type="dxa"/>
            <w:vAlign w:val="top"/>
          </w:tcPr>
          <w:p w14:paraId="76270E35">
            <w:pPr>
              <w:spacing w:line="287" w:lineRule="auto"/>
              <w:rPr>
                <w:rFonts w:ascii="Arial"/>
                <w:sz w:val="21"/>
              </w:rPr>
            </w:pPr>
          </w:p>
          <w:p w14:paraId="0D664CD8">
            <w:pPr>
              <w:pStyle w:val="6"/>
              <w:spacing w:before="65" w:line="230" w:lineRule="auto"/>
              <w:ind w:left="110"/>
            </w:pPr>
            <w:r>
              <w:rPr>
                <w:spacing w:val="9"/>
              </w:rPr>
              <w:t>4.返回示教室，总结反馈床旁诊疗过程，指导麻醉医疗文书规范书写</w:t>
            </w:r>
          </w:p>
        </w:tc>
        <w:tc>
          <w:tcPr>
            <w:tcW w:w="600" w:type="dxa"/>
            <w:vAlign w:val="top"/>
          </w:tcPr>
          <w:p w14:paraId="1D4880E3">
            <w:pPr>
              <w:spacing w:line="318" w:lineRule="auto"/>
              <w:rPr>
                <w:rFonts w:ascii="Arial"/>
                <w:sz w:val="21"/>
              </w:rPr>
            </w:pPr>
          </w:p>
          <w:p w14:paraId="5E500378">
            <w:pPr>
              <w:pStyle w:val="6"/>
              <w:spacing w:before="65" w:line="184" w:lineRule="auto"/>
              <w:ind w:left="265"/>
            </w:pPr>
            <w:r>
              <w:t>5</w:t>
            </w:r>
          </w:p>
        </w:tc>
        <w:tc>
          <w:tcPr>
            <w:tcW w:w="589" w:type="dxa"/>
            <w:vAlign w:val="top"/>
          </w:tcPr>
          <w:p w14:paraId="2611427F">
            <w:pPr>
              <w:rPr>
                <w:rFonts w:ascii="Arial"/>
                <w:sz w:val="21"/>
              </w:rPr>
            </w:pPr>
          </w:p>
        </w:tc>
        <w:tc>
          <w:tcPr>
            <w:tcW w:w="767" w:type="dxa"/>
            <w:vAlign w:val="top"/>
          </w:tcPr>
          <w:p w14:paraId="3838A36E">
            <w:pPr>
              <w:rPr>
                <w:rFonts w:ascii="Arial"/>
                <w:sz w:val="21"/>
              </w:rPr>
            </w:pPr>
          </w:p>
        </w:tc>
      </w:tr>
    </w:tbl>
    <w:p w14:paraId="27BCAB13">
      <w:pPr>
        <w:rPr>
          <w:rFonts w:ascii="Arial"/>
          <w:sz w:val="21"/>
        </w:rPr>
      </w:pPr>
    </w:p>
    <w:p w14:paraId="19842F9A">
      <w:pPr>
        <w:rPr>
          <w:rFonts w:ascii="Arial" w:hAnsi="Arial" w:eastAsia="Arial" w:cs="Arial"/>
          <w:sz w:val="21"/>
          <w:szCs w:val="21"/>
        </w:rPr>
        <w:sectPr>
          <w:footerReference r:id="rId12" w:type="default"/>
          <w:pgSz w:w="11900" w:h="16840"/>
          <w:pgMar w:top="841" w:right="758" w:bottom="1195" w:left="1205" w:header="0" w:footer="1016" w:gutter="0"/>
          <w:cols w:space="720" w:num="1"/>
        </w:sectPr>
      </w:pPr>
    </w:p>
    <w:p w14:paraId="26E1F047">
      <w:pPr>
        <w:spacing w:before="71"/>
      </w:pPr>
    </w:p>
    <w:tbl>
      <w:tblPr>
        <w:tblStyle w:val="5"/>
        <w:tblW w:w="99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8"/>
        <w:gridCol w:w="6847"/>
        <w:gridCol w:w="600"/>
        <w:gridCol w:w="589"/>
        <w:gridCol w:w="767"/>
      </w:tblGrid>
      <w:tr w14:paraId="0F4DE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128" w:type="dxa"/>
            <w:vMerge w:val="restart"/>
            <w:tcBorders>
              <w:bottom w:val="nil"/>
            </w:tcBorders>
            <w:vAlign w:val="top"/>
          </w:tcPr>
          <w:p w14:paraId="7D7668FD">
            <w:pPr>
              <w:rPr>
                <w:rFonts w:ascii="Arial"/>
                <w:sz w:val="21"/>
              </w:rPr>
            </w:pPr>
          </w:p>
        </w:tc>
        <w:tc>
          <w:tcPr>
            <w:tcW w:w="6847" w:type="dxa"/>
            <w:vAlign w:val="top"/>
          </w:tcPr>
          <w:p w14:paraId="4CBD26FC">
            <w:pPr>
              <w:spacing w:line="287" w:lineRule="auto"/>
              <w:rPr>
                <w:rFonts w:ascii="Arial"/>
                <w:sz w:val="21"/>
              </w:rPr>
            </w:pPr>
          </w:p>
          <w:p w14:paraId="72472AC4">
            <w:pPr>
              <w:pStyle w:val="6"/>
              <w:spacing w:before="65" w:line="427" w:lineRule="auto"/>
              <w:ind w:left="318" w:right="76" w:hanging="204"/>
            </w:pPr>
            <w:r>
              <w:rPr>
                <w:spacing w:val="14"/>
              </w:rPr>
              <w:t>5.熟练地引导住院医师结合病史、体格检查及辅助检查，对患者进行风</w:t>
            </w:r>
            <w:r>
              <w:rPr>
                <w:spacing w:val="1"/>
              </w:rPr>
              <w:t xml:space="preserve"> </w:t>
            </w:r>
            <w:r>
              <w:rPr>
                <w:spacing w:val="7"/>
              </w:rPr>
              <w:t>险评估，并列出评估依据</w:t>
            </w:r>
          </w:p>
        </w:tc>
        <w:tc>
          <w:tcPr>
            <w:tcW w:w="600" w:type="dxa"/>
            <w:vAlign w:val="top"/>
          </w:tcPr>
          <w:p w14:paraId="5DA8788B">
            <w:pPr>
              <w:spacing w:line="297" w:lineRule="auto"/>
              <w:rPr>
                <w:rFonts w:ascii="Arial"/>
                <w:sz w:val="21"/>
              </w:rPr>
            </w:pPr>
          </w:p>
          <w:p w14:paraId="43B80933">
            <w:pPr>
              <w:spacing w:line="297" w:lineRule="auto"/>
              <w:rPr>
                <w:rFonts w:ascii="Arial"/>
                <w:sz w:val="21"/>
              </w:rPr>
            </w:pPr>
          </w:p>
          <w:p w14:paraId="46EA9CE5">
            <w:pPr>
              <w:pStyle w:val="6"/>
              <w:spacing w:before="65" w:line="184" w:lineRule="auto"/>
              <w:ind w:left="265"/>
            </w:pPr>
            <w:r>
              <w:t>5</w:t>
            </w:r>
          </w:p>
        </w:tc>
        <w:tc>
          <w:tcPr>
            <w:tcW w:w="589" w:type="dxa"/>
            <w:vAlign w:val="top"/>
          </w:tcPr>
          <w:p w14:paraId="36E7352A">
            <w:pPr>
              <w:rPr>
                <w:rFonts w:ascii="Arial"/>
                <w:sz w:val="21"/>
              </w:rPr>
            </w:pPr>
          </w:p>
        </w:tc>
        <w:tc>
          <w:tcPr>
            <w:tcW w:w="767" w:type="dxa"/>
            <w:vAlign w:val="top"/>
          </w:tcPr>
          <w:p w14:paraId="20FA951C">
            <w:pPr>
              <w:rPr>
                <w:rFonts w:ascii="Arial"/>
                <w:sz w:val="21"/>
              </w:rPr>
            </w:pPr>
          </w:p>
        </w:tc>
      </w:tr>
      <w:tr w14:paraId="698A8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128" w:type="dxa"/>
            <w:vMerge w:val="continue"/>
            <w:tcBorders>
              <w:top w:val="nil"/>
              <w:bottom w:val="nil"/>
            </w:tcBorders>
            <w:vAlign w:val="top"/>
          </w:tcPr>
          <w:p w14:paraId="2D4B4E9B">
            <w:pPr>
              <w:rPr>
                <w:rFonts w:ascii="Arial"/>
                <w:sz w:val="21"/>
              </w:rPr>
            </w:pPr>
          </w:p>
        </w:tc>
        <w:tc>
          <w:tcPr>
            <w:tcW w:w="6847" w:type="dxa"/>
            <w:vAlign w:val="top"/>
          </w:tcPr>
          <w:p w14:paraId="4D89E646">
            <w:pPr>
              <w:spacing w:line="281" w:lineRule="auto"/>
              <w:rPr>
                <w:rFonts w:ascii="Arial"/>
                <w:sz w:val="21"/>
              </w:rPr>
            </w:pPr>
          </w:p>
          <w:p w14:paraId="63AD0C26">
            <w:pPr>
              <w:pStyle w:val="6"/>
              <w:spacing w:before="65" w:line="229" w:lineRule="auto"/>
              <w:ind w:left="103"/>
            </w:pPr>
            <w:r>
              <w:rPr>
                <w:spacing w:val="9"/>
              </w:rPr>
              <w:t>6.结合术前评估，指导住院医师分析围术期麻醉及镇痛管理的关键问题</w:t>
            </w:r>
          </w:p>
        </w:tc>
        <w:tc>
          <w:tcPr>
            <w:tcW w:w="600" w:type="dxa"/>
            <w:vAlign w:val="top"/>
          </w:tcPr>
          <w:p w14:paraId="33D80028">
            <w:pPr>
              <w:spacing w:line="309" w:lineRule="auto"/>
              <w:rPr>
                <w:rFonts w:ascii="Arial"/>
                <w:sz w:val="21"/>
              </w:rPr>
            </w:pPr>
          </w:p>
          <w:p w14:paraId="208FA222">
            <w:pPr>
              <w:pStyle w:val="6"/>
              <w:spacing w:before="65" w:line="187" w:lineRule="auto"/>
              <w:ind w:left="215"/>
            </w:pPr>
            <w:r>
              <w:rPr>
                <w:spacing w:val="-6"/>
              </w:rPr>
              <w:t>10</w:t>
            </w:r>
          </w:p>
        </w:tc>
        <w:tc>
          <w:tcPr>
            <w:tcW w:w="589" w:type="dxa"/>
            <w:vAlign w:val="top"/>
          </w:tcPr>
          <w:p w14:paraId="0332BBC8">
            <w:pPr>
              <w:rPr>
                <w:rFonts w:ascii="Arial"/>
                <w:sz w:val="21"/>
              </w:rPr>
            </w:pPr>
          </w:p>
        </w:tc>
        <w:tc>
          <w:tcPr>
            <w:tcW w:w="767" w:type="dxa"/>
            <w:vAlign w:val="top"/>
          </w:tcPr>
          <w:p w14:paraId="36E9A520">
            <w:pPr>
              <w:rPr>
                <w:rFonts w:ascii="Arial"/>
                <w:sz w:val="21"/>
              </w:rPr>
            </w:pPr>
          </w:p>
        </w:tc>
      </w:tr>
      <w:tr w14:paraId="53BE8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1128" w:type="dxa"/>
            <w:vMerge w:val="continue"/>
            <w:tcBorders>
              <w:top w:val="nil"/>
              <w:bottom w:val="nil"/>
            </w:tcBorders>
            <w:vAlign w:val="top"/>
          </w:tcPr>
          <w:p w14:paraId="6CA1673D">
            <w:pPr>
              <w:rPr>
                <w:rFonts w:ascii="Arial"/>
                <w:sz w:val="21"/>
              </w:rPr>
            </w:pPr>
          </w:p>
        </w:tc>
        <w:tc>
          <w:tcPr>
            <w:tcW w:w="6847" w:type="dxa"/>
            <w:vAlign w:val="top"/>
          </w:tcPr>
          <w:p w14:paraId="37D3983F">
            <w:pPr>
              <w:spacing w:line="282" w:lineRule="auto"/>
              <w:rPr>
                <w:rFonts w:ascii="Arial"/>
                <w:sz w:val="21"/>
              </w:rPr>
            </w:pPr>
          </w:p>
          <w:p w14:paraId="2BE6C554">
            <w:pPr>
              <w:pStyle w:val="6"/>
              <w:spacing w:before="65" w:line="427" w:lineRule="auto"/>
              <w:ind w:left="299" w:right="76" w:hanging="186"/>
            </w:pPr>
            <w:r>
              <w:rPr>
                <w:spacing w:val="14"/>
              </w:rPr>
              <w:t>7.充分探讨并引导住院医师制订具体的个体化</w:t>
            </w:r>
            <w:r>
              <w:rPr>
                <w:rFonts w:ascii="宋体" w:hAnsi="宋体" w:eastAsia="宋体" w:cs="宋体"/>
                <w:spacing w:val="14"/>
              </w:rPr>
              <w:t>麻醉</w:t>
            </w:r>
            <w:r>
              <w:rPr>
                <w:spacing w:val="14"/>
              </w:rPr>
              <w:t>预案，体现循证医学</w:t>
            </w:r>
            <w:r>
              <w:rPr>
                <w:spacing w:val="2"/>
              </w:rPr>
              <w:t xml:space="preserve"> 及</w:t>
            </w:r>
            <w:r>
              <w:rPr>
                <w:spacing w:val="-57"/>
              </w:rPr>
              <w:t xml:space="preserve"> </w:t>
            </w:r>
            <w:r>
              <w:rPr>
                <w:spacing w:val="2"/>
              </w:rPr>
              <w:t>“</w:t>
            </w:r>
            <w:r>
              <w:rPr>
                <w:spacing w:val="-63"/>
              </w:rPr>
              <w:t xml:space="preserve"> </w:t>
            </w:r>
            <w:r>
              <w:rPr>
                <w:spacing w:val="2"/>
              </w:rPr>
              <w:t>以患者为中心”理念</w:t>
            </w:r>
          </w:p>
        </w:tc>
        <w:tc>
          <w:tcPr>
            <w:tcW w:w="600" w:type="dxa"/>
            <w:vAlign w:val="top"/>
          </w:tcPr>
          <w:p w14:paraId="3780837B">
            <w:pPr>
              <w:spacing w:line="295" w:lineRule="auto"/>
              <w:rPr>
                <w:rFonts w:ascii="Arial"/>
                <w:sz w:val="21"/>
              </w:rPr>
            </w:pPr>
          </w:p>
          <w:p w14:paraId="73494818">
            <w:pPr>
              <w:spacing w:line="296" w:lineRule="auto"/>
              <w:rPr>
                <w:rFonts w:ascii="Arial"/>
                <w:sz w:val="21"/>
              </w:rPr>
            </w:pPr>
          </w:p>
          <w:p w14:paraId="2B1220C9">
            <w:pPr>
              <w:pStyle w:val="6"/>
              <w:spacing w:before="65" w:line="184" w:lineRule="auto"/>
              <w:ind w:left="265"/>
            </w:pPr>
            <w:r>
              <w:t>5</w:t>
            </w:r>
          </w:p>
        </w:tc>
        <w:tc>
          <w:tcPr>
            <w:tcW w:w="589" w:type="dxa"/>
            <w:vAlign w:val="top"/>
          </w:tcPr>
          <w:p w14:paraId="392F237A">
            <w:pPr>
              <w:rPr>
                <w:rFonts w:ascii="Arial"/>
                <w:sz w:val="21"/>
              </w:rPr>
            </w:pPr>
          </w:p>
        </w:tc>
        <w:tc>
          <w:tcPr>
            <w:tcW w:w="767" w:type="dxa"/>
            <w:vAlign w:val="top"/>
          </w:tcPr>
          <w:p w14:paraId="5497F7A1">
            <w:pPr>
              <w:rPr>
                <w:rFonts w:ascii="Arial"/>
                <w:sz w:val="21"/>
              </w:rPr>
            </w:pPr>
          </w:p>
        </w:tc>
      </w:tr>
      <w:tr w14:paraId="6BD57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128" w:type="dxa"/>
            <w:vMerge w:val="continue"/>
            <w:tcBorders>
              <w:top w:val="nil"/>
              <w:bottom w:val="nil"/>
            </w:tcBorders>
            <w:vAlign w:val="top"/>
          </w:tcPr>
          <w:p w14:paraId="4BDA12AA">
            <w:pPr>
              <w:rPr>
                <w:rFonts w:ascii="Arial"/>
                <w:sz w:val="21"/>
              </w:rPr>
            </w:pPr>
          </w:p>
        </w:tc>
        <w:tc>
          <w:tcPr>
            <w:tcW w:w="6847" w:type="dxa"/>
            <w:vAlign w:val="top"/>
          </w:tcPr>
          <w:p w14:paraId="281F82E3">
            <w:pPr>
              <w:spacing w:line="284" w:lineRule="auto"/>
              <w:rPr>
                <w:rFonts w:ascii="Arial"/>
                <w:sz w:val="21"/>
              </w:rPr>
            </w:pPr>
          </w:p>
          <w:p w14:paraId="25F2EDD6">
            <w:pPr>
              <w:pStyle w:val="6"/>
              <w:spacing w:before="65" w:line="230" w:lineRule="auto"/>
              <w:ind w:left="94"/>
            </w:pPr>
            <w:r>
              <w:rPr>
                <w:spacing w:val="9"/>
              </w:rPr>
              <w:t>8.理论联系实际病例，分析解释难点问题，介绍麻醉医学</w:t>
            </w:r>
            <w:r>
              <w:rPr>
                <w:spacing w:val="8"/>
              </w:rPr>
              <w:t>新进展</w:t>
            </w:r>
          </w:p>
        </w:tc>
        <w:tc>
          <w:tcPr>
            <w:tcW w:w="600" w:type="dxa"/>
            <w:vAlign w:val="top"/>
          </w:tcPr>
          <w:p w14:paraId="03FC5A5F">
            <w:pPr>
              <w:spacing w:line="314" w:lineRule="auto"/>
              <w:rPr>
                <w:rFonts w:ascii="Arial"/>
                <w:sz w:val="21"/>
              </w:rPr>
            </w:pPr>
          </w:p>
          <w:p w14:paraId="6C74C5C9">
            <w:pPr>
              <w:pStyle w:val="6"/>
              <w:spacing w:before="65" w:line="184" w:lineRule="auto"/>
              <w:ind w:left="265"/>
            </w:pPr>
            <w:r>
              <w:t>5</w:t>
            </w:r>
          </w:p>
        </w:tc>
        <w:tc>
          <w:tcPr>
            <w:tcW w:w="589" w:type="dxa"/>
            <w:vAlign w:val="top"/>
          </w:tcPr>
          <w:p w14:paraId="45159EEC">
            <w:pPr>
              <w:rPr>
                <w:rFonts w:ascii="Arial"/>
                <w:sz w:val="21"/>
              </w:rPr>
            </w:pPr>
          </w:p>
        </w:tc>
        <w:tc>
          <w:tcPr>
            <w:tcW w:w="767" w:type="dxa"/>
            <w:vAlign w:val="top"/>
          </w:tcPr>
          <w:p w14:paraId="4C87F7C9">
            <w:pPr>
              <w:rPr>
                <w:rFonts w:ascii="Arial"/>
                <w:sz w:val="21"/>
              </w:rPr>
            </w:pPr>
          </w:p>
        </w:tc>
      </w:tr>
      <w:tr w14:paraId="1ABCE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5" w:hRule="atLeast"/>
        </w:trPr>
        <w:tc>
          <w:tcPr>
            <w:tcW w:w="1128" w:type="dxa"/>
            <w:vMerge w:val="continue"/>
            <w:tcBorders>
              <w:top w:val="nil"/>
            </w:tcBorders>
            <w:vAlign w:val="top"/>
          </w:tcPr>
          <w:p w14:paraId="39ACD60C">
            <w:pPr>
              <w:rPr>
                <w:rFonts w:ascii="Arial"/>
                <w:sz w:val="21"/>
              </w:rPr>
            </w:pPr>
          </w:p>
        </w:tc>
        <w:tc>
          <w:tcPr>
            <w:tcW w:w="6847" w:type="dxa"/>
            <w:vAlign w:val="top"/>
          </w:tcPr>
          <w:p w14:paraId="260ACE6D">
            <w:pPr>
              <w:spacing w:line="285" w:lineRule="auto"/>
              <w:rPr>
                <w:rFonts w:ascii="Arial"/>
                <w:sz w:val="21"/>
              </w:rPr>
            </w:pPr>
          </w:p>
          <w:p w14:paraId="06023180">
            <w:pPr>
              <w:pStyle w:val="6"/>
              <w:spacing w:before="65" w:line="426" w:lineRule="auto"/>
              <w:ind w:left="298" w:right="76" w:hanging="185"/>
            </w:pPr>
            <w:r>
              <w:rPr>
                <w:spacing w:val="13"/>
              </w:rPr>
              <w:t>9.指导医师总结与点评，</w:t>
            </w:r>
            <w:r>
              <w:rPr>
                <w:spacing w:val="-59"/>
              </w:rPr>
              <w:t xml:space="preserve"> </w:t>
            </w:r>
            <w:r>
              <w:rPr>
                <w:spacing w:val="13"/>
              </w:rPr>
              <w:t>回顾教学目标的达成，提出课</w:t>
            </w:r>
            <w:r>
              <w:rPr>
                <w:spacing w:val="12"/>
              </w:rPr>
              <w:t>后学习问题，提</w:t>
            </w:r>
            <w:r>
              <w:t xml:space="preserve"> </w:t>
            </w:r>
            <w:r>
              <w:rPr>
                <w:spacing w:val="9"/>
              </w:rPr>
              <w:t>供学习资料及参考文献</w:t>
            </w:r>
          </w:p>
        </w:tc>
        <w:tc>
          <w:tcPr>
            <w:tcW w:w="600" w:type="dxa"/>
            <w:vAlign w:val="top"/>
          </w:tcPr>
          <w:p w14:paraId="6B1C1B09">
            <w:pPr>
              <w:spacing w:line="296" w:lineRule="auto"/>
              <w:rPr>
                <w:rFonts w:ascii="Arial"/>
                <w:sz w:val="21"/>
              </w:rPr>
            </w:pPr>
          </w:p>
          <w:p w14:paraId="2A855C4F">
            <w:pPr>
              <w:spacing w:line="297" w:lineRule="auto"/>
              <w:rPr>
                <w:rFonts w:ascii="Arial"/>
                <w:sz w:val="21"/>
              </w:rPr>
            </w:pPr>
          </w:p>
          <w:p w14:paraId="72FDD37D">
            <w:pPr>
              <w:pStyle w:val="6"/>
              <w:spacing w:before="65" w:line="184" w:lineRule="auto"/>
              <w:ind w:left="265"/>
            </w:pPr>
            <w:r>
              <w:t>5</w:t>
            </w:r>
          </w:p>
        </w:tc>
        <w:tc>
          <w:tcPr>
            <w:tcW w:w="589" w:type="dxa"/>
            <w:vAlign w:val="top"/>
          </w:tcPr>
          <w:p w14:paraId="4AD065E3">
            <w:pPr>
              <w:rPr>
                <w:rFonts w:ascii="Arial"/>
                <w:sz w:val="21"/>
              </w:rPr>
            </w:pPr>
          </w:p>
        </w:tc>
        <w:tc>
          <w:tcPr>
            <w:tcW w:w="767" w:type="dxa"/>
            <w:vAlign w:val="top"/>
          </w:tcPr>
          <w:p w14:paraId="0B0872EB">
            <w:pPr>
              <w:rPr>
                <w:rFonts w:ascii="Arial"/>
                <w:sz w:val="21"/>
              </w:rPr>
            </w:pPr>
          </w:p>
        </w:tc>
      </w:tr>
      <w:tr w14:paraId="70F20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1128" w:type="dxa"/>
            <w:vMerge w:val="restart"/>
            <w:tcBorders>
              <w:bottom w:val="nil"/>
            </w:tcBorders>
            <w:vAlign w:val="top"/>
          </w:tcPr>
          <w:p w14:paraId="466A8D6F">
            <w:pPr>
              <w:spacing w:line="245" w:lineRule="auto"/>
              <w:rPr>
                <w:rFonts w:ascii="Arial"/>
                <w:sz w:val="21"/>
              </w:rPr>
            </w:pPr>
          </w:p>
          <w:p w14:paraId="31BA50E9">
            <w:pPr>
              <w:spacing w:line="245" w:lineRule="auto"/>
              <w:rPr>
                <w:rFonts w:ascii="Arial"/>
                <w:sz w:val="21"/>
              </w:rPr>
            </w:pPr>
          </w:p>
          <w:p w14:paraId="43D26670">
            <w:pPr>
              <w:spacing w:line="245" w:lineRule="auto"/>
              <w:rPr>
                <w:rFonts w:ascii="Arial"/>
                <w:sz w:val="21"/>
              </w:rPr>
            </w:pPr>
          </w:p>
          <w:p w14:paraId="6F6D7D76">
            <w:pPr>
              <w:spacing w:line="245" w:lineRule="auto"/>
              <w:rPr>
                <w:rFonts w:ascii="Arial"/>
                <w:sz w:val="21"/>
              </w:rPr>
            </w:pPr>
          </w:p>
          <w:p w14:paraId="70B7AD93">
            <w:pPr>
              <w:spacing w:line="245" w:lineRule="auto"/>
              <w:rPr>
                <w:rFonts w:ascii="Arial"/>
                <w:sz w:val="21"/>
              </w:rPr>
            </w:pPr>
          </w:p>
          <w:p w14:paraId="72BC687D">
            <w:pPr>
              <w:spacing w:line="245" w:lineRule="auto"/>
              <w:rPr>
                <w:rFonts w:ascii="Arial"/>
                <w:sz w:val="21"/>
              </w:rPr>
            </w:pPr>
          </w:p>
          <w:p w14:paraId="36D34ABE">
            <w:pPr>
              <w:spacing w:line="245" w:lineRule="auto"/>
              <w:rPr>
                <w:rFonts w:ascii="Arial"/>
                <w:sz w:val="21"/>
              </w:rPr>
            </w:pPr>
          </w:p>
          <w:p w14:paraId="34374605">
            <w:pPr>
              <w:spacing w:line="246" w:lineRule="auto"/>
              <w:rPr>
                <w:rFonts w:ascii="Arial"/>
                <w:sz w:val="21"/>
              </w:rPr>
            </w:pPr>
          </w:p>
          <w:p w14:paraId="4ED29C31">
            <w:pPr>
              <w:spacing w:line="246" w:lineRule="auto"/>
              <w:rPr>
                <w:rFonts w:ascii="Arial"/>
                <w:sz w:val="21"/>
              </w:rPr>
            </w:pPr>
          </w:p>
          <w:p w14:paraId="05681D52">
            <w:pPr>
              <w:pStyle w:val="6"/>
              <w:spacing w:before="65" w:line="502" w:lineRule="auto"/>
              <w:ind w:left="119" w:right="122" w:firstLine="30"/>
            </w:pPr>
            <w:r>
              <w:rPr>
                <w:spacing w:val="7"/>
              </w:rPr>
              <w:t>查房技能</w:t>
            </w:r>
            <w:r>
              <w:t xml:space="preserve"> </w:t>
            </w:r>
            <w:r>
              <w:rPr>
                <w:spacing w:val="-7"/>
              </w:rPr>
              <w:t>（</w:t>
            </w:r>
            <w:r>
              <w:rPr>
                <w:spacing w:val="-46"/>
              </w:rPr>
              <w:t xml:space="preserve"> </w:t>
            </w:r>
            <w:r>
              <w:rPr>
                <w:spacing w:val="-7"/>
              </w:rPr>
              <w:t>16</w:t>
            </w:r>
            <w:r>
              <w:rPr>
                <w:spacing w:val="-39"/>
              </w:rPr>
              <w:t xml:space="preserve"> </w:t>
            </w:r>
            <w:r>
              <w:rPr>
                <w:spacing w:val="-7"/>
              </w:rPr>
              <w:t>分）</w:t>
            </w:r>
          </w:p>
        </w:tc>
        <w:tc>
          <w:tcPr>
            <w:tcW w:w="6847" w:type="dxa"/>
            <w:vAlign w:val="top"/>
          </w:tcPr>
          <w:p w14:paraId="3B10E9B8">
            <w:pPr>
              <w:spacing w:line="286" w:lineRule="auto"/>
              <w:rPr>
                <w:rFonts w:ascii="Arial"/>
                <w:sz w:val="21"/>
              </w:rPr>
            </w:pPr>
          </w:p>
          <w:p w14:paraId="03FCB892">
            <w:pPr>
              <w:pStyle w:val="6"/>
              <w:spacing w:before="65" w:line="425" w:lineRule="auto"/>
              <w:ind w:left="315" w:right="76" w:hanging="199"/>
            </w:pPr>
            <w:r>
              <w:rPr>
                <w:spacing w:val="12"/>
              </w:rPr>
              <w:t>1.概念准确，逻辑性强，重点突出，难点讲透，</w:t>
            </w:r>
            <w:r>
              <w:rPr>
                <w:spacing w:val="-37"/>
              </w:rPr>
              <w:t xml:space="preserve"> </w:t>
            </w:r>
            <w:r>
              <w:rPr>
                <w:spacing w:val="12"/>
              </w:rPr>
              <w:t>时间安排合理，教学应</w:t>
            </w:r>
            <w:r>
              <w:t xml:space="preserve"> </w:t>
            </w:r>
            <w:r>
              <w:rPr>
                <w:spacing w:val="3"/>
              </w:rPr>
              <w:t>变能力强</w:t>
            </w:r>
          </w:p>
        </w:tc>
        <w:tc>
          <w:tcPr>
            <w:tcW w:w="600" w:type="dxa"/>
            <w:vAlign w:val="top"/>
          </w:tcPr>
          <w:p w14:paraId="6A921FBC">
            <w:pPr>
              <w:spacing w:line="294" w:lineRule="auto"/>
              <w:rPr>
                <w:rFonts w:ascii="Arial"/>
                <w:sz w:val="21"/>
              </w:rPr>
            </w:pPr>
          </w:p>
          <w:p w14:paraId="35242D61">
            <w:pPr>
              <w:spacing w:line="295" w:lineRule="auto"/>
              <w:rPr>
                <w:rFonts w:ascii="Arial"/>
                <w:sz w:val="21"/>
              </w:rPr>
            </w:pPr>
          </w:p>
          <w:p w14:paraId="1D8A8D2C">
            <w:pPr>
              <w:pStyle w:val="6"/>
              <w:spacing w:before="65" w:line="185" w:lineRule="auto"/>
              <w:ind w:left="262"/>
            </w:pPr>
            <w:r>
              <w:t>4</w:t>
            </w:r>
          </w:p>
        </w:tc>
        <w:tc>
          <w:tcPr>
            <w:tcW w:w="589" w:type="dxa"/>
            <w:vAlign w:val="top"/>
          </w:tcPr>
          <w:p w14:paraId="46EC7095">
            <w:pPr>
              <w:rPr>
                <w:rFonts w:ascii="Arial"/>
                <w:sz w:val="21"/>
              </w:rPr>
            </w:pPr>
          </w:p>
        </w:tc>
        <w:tc>
          <w:tcPr>
            <w:tcW w:w="767" w:type="dxa"/>
            <w:vAlign w:val="top"/>
          </w:tcPr>
          <w:p w14:paraId="7B5EA4A2">
            <w:pPr>
              <w:rPr>
                <w:rFonts w:ascii="Arial"/>
                <w:sz w:val="21"/>
              </w:rPr>
            </w:pPr>
          </w:p>
        </w:tc>
      </w:tr>
      <w:tr w14:paraId="25E15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1128" w:type="dxa"/>
            <w:vMerge w:val="continue"/>
            <w:tcBorders>
              <w:top w:val="nil"/>
              <w:bottom w:val="nil"/>
            </w:tcBorders>
            <w:vAlign w:val="top"/>
          </w:tcPr>
          <w:p w14:paraId="195DC7B6">
            <w:pPr>
              <w:rPr>
                <w:rFonts w:ascii="Arial"/>
                <w:sz w:val="21"/>
              </w:rPr>
            </w:pPr>
          </w:p>
        </w:tc>
        <w:tc>
          <w:tcPr>
            <w:tcW w:w="6847" w:type="dxa"/>
            <w:vAlign w:val="top"/>
          </w:tcPr>
          <w:p w14:paraId="28590754">
            <w:pPr>
              <w:spacing w:line="286" w:lineRule="auto"/>
              <w:rPr>
                <w:rFonts w:ascii="Arial"/>
                <w:sz w:val="21"/>
              </w:rPr>
            </w:pPr>
          </w:p>
          <w:p w14:paraId="098845B4">
            <w:pPr>
              <w:pStyle w:val="6"/>
              <w:spacing w:before="65" w:line="425" w:lineRule="auto"/>
              <w:ind w:left="325" w:right="76" w:hanging="214"/>
            </w:pPr>
            <w:r>
              <w:rPr>
                <w:spacing w:val="14"/>
              </w:rPr>
              <w:t>2.能理论联系实际病例，分层次地引导住院医师开展查房与讨论，适时</w:t>
            </w:r>
            <w:r>
              <w:rPr>
                <w:spacing w:val="4"/>
              </w:rPr>
              <w:t xml:space="preserve"> </w:t>
            </w:r>
            <w:r>
              <w:rPr>
                <w:spacing w:val="3"/>
              </w:rPr>
              <w:t>归纳与总结</w:t>
            </w:r>
          </w:p>
        </w:tc>
        <w:tc>
          <w:tcPr>
            <w:tcW w:w="600" w:type="dxa"/>
            <w:vAlign w:val="top"/>
          </w:tcPr>
          <w:p w14:paraId="286B30F8">
            <w:pPr>
              <w:spacing w:line="295" w:lineRule="auto"/>
              <w:rPr>
                <w:rFonts w:ascii="Arial"/>
                <w:sz w:val="21"/>
              </w:rPr>
            </w:pPr>
          </w:p>
          <w:p w14:paraId="64BACB11">
            <w:pPr>
              <w:spacing w:line="296" w:lineRule="auto"/>
              <w:rPr>
                <w:rFonts w:ascii="Arial"/>
                <w:sz w:val="21"/>
              </w:rPr>
            </w:pPr>
          </w:p>
          <w:p w14:paraId="016E26D1">
            <w:pPr>
              <w:pStyle w:val="6"/>
              <w:spacing w:before="65" w:line="185" w:lineRule="auto"/>
              <w:ind w:left="262"/>
            </w:pPr>
            <w:r>
              <w:t>4</w:t>
            </w:r>
          </w:p>
        </w:tc>
        <w:tc>
          <w:tcPr>
            <w:tcW w:w="589" w:type="dxa"/>
            <w:vAlign w:val="top"/>
          </w:tcPr>
          <w:p w14:paraId="48573A95">
            <w:pPr>
              <w:rPr>
                <w:rFonts w:ascii="Arial"/>
                <w:sz w:val="21"/>
              </w:rPr>
            </w:pPr>
          </w:p>
        </w:tc>
        <w:tc>
          <w:tcPr>
            <w:tcW w:w="767" w:type="dxa"/>
            <w:vAlign w:val="top"/>
          </w:tcPr>
          <w:p w14:paraId="67BCA82F">
            <w:pPr>
              <w:rPr>
                <w:rFonts w:ascii="Arial"/>
                <w:sz w:val="21"/>
              </w:rPr>
            </w:pPr>
          </w:p>
        </w:tc>
      </w:tr>
      <w:tr w14:paraId="18F58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1128" w:type="dxa"/>
            <w:vMerge w:val="continue"/>
            <w:tcBorders>
              <w:top w:val="nil"/>
              <w:bottom w:val="nil"/>
            </w:tcBorders>
            <w:vAlign w:val="top"/>
          </w:tcPr>
          <w:p w14:paraId="285CED80">
            <w:pPr>
              <w:rPr>
                <w:rFonts w:ascii="Arial"/>
                <w:sz w:val="21"/>
              </w:rPr>
            </w:pPr>
          </w:p>
        </w:tc>
        <w:tc>
          <w:tcPr>
            <w:tcW w:w="6847" w:type="dxa"/>
            <w:vAlign w:val="top"/>
          </w:tcPr>
          <w:p w14:paraId="599538AF">
            <w:pPr>
              <w:spacing w:line="288" w:lineRule="auto"/>
              <w:rPr>
                <w:rFonts w:ascii="Arial"/>
                <w:sz w:val="21"/>
              </w:rPr>
            </w:pPr>
          </w:p>
          <w:p w14:paraId="4D9E0BDF">
            <w:pPr>
              <w:pStyle w:val="6"/>
              <w:spacing w:before="65" w:line="424" w:lineRule="auto"/>
              <w:ind w:left="312" w:right="76" w:hanging="193"/>
            </w:pPr>
            <w:r>
              <w:rPr>
                <w:spacing w:val="14"/>
              </w:rPr>
              <w:t>3.始终围绕教学查房病例开展教学与指导，培养住院医师信息</w:t>
            </w:r>
            <w:r>
              <w:rPr>
                <w:spacing w:val="13"/>
              </w:rPr>
              <w:t>收集与诊</w:t>
            </w:r>
            <w:r>
              <w:t xml:space="preserve"> </w:t>
            </w:r>
            <w:r>
              <w:rPr>
                <w:spacing w:val="8"/>
              </w:rPr>
              <w:t>断决策的临床技能（若做成小讲课，本项不得分）</w:t>
            </w:r>
          </w:p>
        </w:tc>
        <w:tc>
          <w:tcPr>
            <w:tcW w:w="600" w:type="dxa"/>
            <w:vAlign w:val="top"/>
          </w:tcPr>
          <w:p w14:paraId="78FD02EE">
            <w:pPr>
              <w:spacing w:line="295" w:lineRule="auto"/>
              <w:rPr>
                <w:rFonts w:ascii="Arial"/>
                <w:sz w:val="21"/>
              </w:rPr>
            </w:pPr>
          </w:p>
          <w:p w14:paraId="1C567649">
            <w:pPr>
              <w:spacing w:line="296" w:lineRule="auto"/>
              <w:rPr>
                <w:rFonts w:ascii="Arial"/>
                <w:sz w:val="21"/>
              </w:rPr>
            </w:pPr>
          </w:p>
          <w:p w14:paraId="62568CBE">
            <w:pPr>
              <w:pStyle w:val="6"/>
              <w:spacing w:before="65" w:line="185" w:lineRule="auto"/>
              <w:ind w:left="262"/>
            </w:pPr>
            <w:r>
              <w:t>4</w:t>
            </w:r>
          </w:p>
        </w:tc>
        <w:tc>
          <w:tcPr>
            <w:tcW w:w="589" w:type="dxa"/>
            <w:vAlign w:val="top"/>
          </w:tcPr>
          <w:p w14:paraId="38DE350D">
            <w:pPr>
              <w:rPr>
                <w:rFonts w:ascii="Arial"/>
                <w:sz w:val="21"/>
              </w:rPr>
            </w:pPr>
          </w:p>
        </w:tc>
        <w:tc>
          <w:tcPr>
            <w:tcW w:w="767" w:type="dxa"/>
            <w:vAlign w:val="top"/>
          </w:tcPr>
          <w:p w14:paraId="6D7CD7A6">
            <w:pPr>
              <w:rPr>
                <w:rFonts w:ascii="Arial"/>
                <w:sz w:val="21"/>
              </w:rPr>
            </w:pPr>
          </w:p>
        </w:tc>
      </w:tr>
      <w:tr w14:paraId="453B6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5" w:hRule="atLeast"/>
        </w:trPr>
        <w:tc>
          <w:tcPr>
            <w:tcW w:w="1128" w:type="dxa"/>
            <w:vMerge w:val="continue"/>
            <w:tcBorders>
              <w:top w:val="nil"/>
            </w:tcBorders>
            <w:vAlign w:val="top"/>
          </w:tcPr>
          <w:p w14:paraId="7CEF9ED3">
            <w:pPr>
              <w:rPr>
                <w:rFonts w:ascii="Arial"/>
                <w:sz w:val="21"/>
              </w:rPr>
            </w:pPr>
          </w:p>
        </w:tc>
        <w:tc>
          <w:tcPr>
            <w:tcW w:w="6847" w:type="dxa"/>
            <w:vAlign w:val="top"/>
          </w:tcPr>
          <w:p w14:paraId="26D5CAB1">
            <w:pPr>
              <w:spacing w:line="287" w:lineRule="auto"/>
              <w:rPr>
                <w:rFonts w:ascii="Arial"/>
                <w:sz w:val="21"/>
              </w:rPr>
            </w:pPr>
          </w:p>
          <w:p w14:paraId="67C8C9FC">
            <w:pPr>
              <w:pStyle w:val="6"/>
              <w:spacing w:before="65" w:line="425" w:lineRule="auto"/>
              <w:ind w:left="325" w:right="446" w:hanging="215"/>
            </w:pPr>
            <w:r>
              <w:rPr>
                <w:spacing w:val="9"/>
              </w:rPr>
              <w:t>4.合理应用白板和（或）多媒体教具，符合教学要求；教学中语言生</w:t>
            </w:r>
            <w:r>
              <w:rPr>
                <w:spacing w:val="4"/>
              </w:rPr>
              <w:t xml:space="preserve"> </w:t>
            </w:r>
            <w:r>
              <w:rPr>
                <w:spacing w:val="8"/>
              </w:rPr>
              <w:t>动、专业、规范，合理教授专业英语词汇</w:t>
            </w:r>
          </w:p>
        </w:tc>
        <w:tc>
          <w:tcPr>
            <w:tcW w:w="600" w:type="dxa"/>
            <w:vAlign w:val="top"/>
          </w:tcPr>
          <w:p w14:paraId="4FFBA5FB">
            <w:pPr>
              <w:spacing w:line="296" w:lineRule="auto"/>
              <w:rPr>
                <w:rFonts w:ascii="Arial"/>
                <w:sz w:val="21"/>
              </w:rPr>
            </w:pPr>
          </w:p>
          <w:p w14:paraId="329C768C">
            <w:pPr>
              <w:spacing w:line="297" w:lineRule="auto"/>
              <w:rPr>
                <w:rFonts w:ascii="Arial"/>
                <w:sz w:val="21"/>
              </w:rPr>
            </w:pPr>
          </w:p>
          <w:p w14:paraId="1A874E42">
            <w:pPr>
              <w:pStyle w:val="6"/>
              <w:spacing w:before="65" w:line="185" w:lineRule="auto"/>
              <w:ind w:left="262"/>
            </w:pPr>
            <w:r>
              <w:t>4</w:t>
            </w:r>
          </w:p>
        </w:tc>
        <w:tc>
          <w:tcPr>
            <w:tcW w:w="589" w:type="dxa"/>
            <w:vAlign w:val="top"/>
          </w:tcPr>
          <w:p w14:paraId="559AFB26">
            <w:pPr>
              <w:rPr>
                <w:rFonts w:ascii="Arial"/>
                <w:sz w:val="21"/>
              </w:rPr>
            </w:pPr>
          </w:p>
        </w:tc>
        <w:tc>
          <w:tcPr>
            <w:tcW w:w="767" w:type="dxa"/>
            <w:vAlign w:val="top"/>
          </w:tcPr>
          <w:p w14:paraId="2EF9DEFA">
            <w:pPr>
              <w:rPr>
                <w:rFonts w:ascii="Arial"/>
                <w:sz w:val="21"/>
              </w:rPr>
            </w:pPr>
          </w:p>
        </w:tc>
      </w:tr>
      <w:tr w14:paraId="1A143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5" w:hRule="atLeast"/>
        </w:trPr>
        <w:tc>
          <w:tcPr>
            <w:tcW w:w="1128" w:type="dxa"/>
            <w:vMerge w:val="restart"/>
            <w:tcBorders>
              <w:bottom w:val="nil"/>
            </w:tcBorders>
            <w:vAlign w:val="top"/>
          </w:tcPr>
          <w:p w14:paraId="1C144209">
            <w:pPr>
              <w:spacing w:line="309" w:lineRule="auto"/>
              <w:rPr>
                <w:rFonts w:ascii="Arial"/>
                <w:sz w:val="21"/>
              </w:rPr>
            </w:pPr>
          </w:p>
          <w:p w14:paraId="789961CB">
            <w:pPr>
              <w:spacing w:line="309" w:lineRule="auto"/>
              <w:rPr>
                <w:rFonts w:ascii="Arial"/>
                <w:sz w:val="21"/>
              </w:rPr>
            </w:pPr>
          </w:p>
          <w:p w14:paraId="52B1447F">
            <w:pPr>
              <w:spacing w:line="309" w:lineRule="auto"/>
              <w:rPr>
                <w:rFonts w:ascii="Arial"/>
                <w:sz w:val="21"/>
              </w:rPr>
            </w:pPr>
          </w:p>
          <w:p w14:paraId="340977EF">
            <w:pPr>
              <w:pStyle w:val="6"/>
              <w:spacing w:before="65" w:line="504" w:lineRule="auto"/>
              <w:ind w:left="119" w:right="122" w:firstLine="43"/>
            </w:pPr>
            <w:r>
              <w:rPr>
                <w:spacing w:val="3"/>
              </w:rPr>
              <w:t>总体印象</w:t>
            </w:r>
            <w:r>
              <w:rPr>
                <w:spacing w:val="2"/>
              </w:rPr>
              <w:t xml:space="preserve"> </w:t>
            </w:r>
            <w:r>
              <w:rPr>
                <w:spacing w:val="-7"/>
              </w:rPr>
              <w:t>（</w:t>
            </w:r>
            <w:r>
              <w:rPr>
                <w:spacing w:val="-46"/>
              </w:rPr>
              <w:t xml:space="preserve"> </w:t>
            </w:r>
            <w:r>
              <w:rPr>
                <w:spacing w:val="-7"/>
              </w:rPr>
              <w:t>14</w:t>
            </w:r>
            <w:r>
              <w:rPr>
                <w:spacing w:val="-39"/>
              </w:rPr>
              <w:t xml:space="preserve"> </w:t>
            </w:r>
            <w:r>
              <w:rPr>
                <w:spacing w:val="-7"/>
              </w:rPr>
              <w:t>分）</w:t>
            </w:r>
          </w:p>
        </w:tc>
        <w:tc>
          <w:tcPr>
            <w:tcW w:w="6847" w:type="dxa"/>
            <w:vAlign w:val="top"/>
          </w:tcPr>
          <w:p w14:paraId="37E8561E">
            <w:pPr>
              <w:spacing w:line="289" w:lineRule="auto"/>
              <w:rPr>
                <w:rFonts w:ascii="Arial"/>
                <w:sz w:val="21"/>
              </w:rPr>
            </w:pPr>
          </w:p>
          <w:p w14:paraId="3ACEA2CC">
            <w:pPr>
              <w:pStyle w:val="6"/>
              <w:spacing w:before="65" w:line="424" w:lineRule="auto"/>
              <w:ind w:left="320" w:right="76" w:hanging="204"/>
            </w:pPr>
            <w:r>
              <w:rPr>
                <w:spacing w:val="13"/>
              </w:rPr>
              <w:t>1.教学目标明确，实施过程符合规范，</w:t>
            </w:r>
            <w:r>
              <w:rPr>
                <w:spacing w:val="-56"/>
              </w:rPr>
              <w:t xml:space="preserve"> </w:t>
            </w:r>
            <w:r>
              <w:rPr>
                <w:spacing w:val="13"/>
              </w:rPr>
              <w:t>能</w:t>
            </w:r>
            <w:r>
              <w:rPr>
                <w:spacing w:val="12"/>
              </w:rPr>
              <w:t>充分体现对住院医师临床能力</w:t>
            </w:r>
            <w:r>
              <w:t xml:space="preserve"> </w:t>
            </w:r>
            <w:r>
              <w:rPr>
                <w:spacing w:val="7"/>
              </w:rPr>
              <w:t>的培养，符合培训细则要求</w:t>
            </w:r>
          </w:p>
        </w:tc>
        <w:tc>
          <w:tcPr>
            <w:tcW w:w="600" w:type="dxa"/>
            <w:vAlign w:val="top"/>
          </w:tcPr>
          <w:p w14:paraId="4483B9D1">
            <w:pPr>
              <w:spacing w:line="296" w:lineRule="auto"/>
              <w:rPr>
                <w:rFonts w:ascii="Arial"/>
                <w:sz w:val="21"/>
              </w:rPr>
            </w:pPr>
          </w:p>
          <w:p w14:paraId="1ECAE263">
            <w:pPr>
              <w:spacing w:line="296" w:lineRule="auto"/>
              <w:rPr>
                <w:rFonts w:ascii="Arial"/>
                <w:sz w:val="21"/>
              </w:rPr>
            </w:pPr>
          </w:p>
          <w:p w14:paraId="461C53B1">
            <w:pPr>
              <w:pStyle w:val="6"/>
              <w:spacing w:before="65" w:line="185" w:lineRule="auto"/>
              <w:ind w:left="262"/>
            </w:pPr>
            <w:r>
              <w:t>4</w:t>
            </w:r>
          </w:p>
        </w:tc>
        <w:tc>
          <w:tcPr>
            <w:tcW w:w="589" w:type="dxa"/>
            <w:vAlign w:val="top"/>
          </w:tcPr>
          <w:p w14:paraId="25CF7D06">
            <w:pPr>
              <w:rPr>
                <w:rFonts w:ascii="Arial"/>
                <w:sz w:val="21"/>
              </w:rPr>
            </w:pPr>
          </w:p>
        </w:tc>
        <w:tc>
          <w:tcPr>
            <w:tcW w:w="767" w:type="dxa"/>
            <w:vAlign w:val="top"/>
          </w:tcPr>
          <w:p w14:paraId="180A9B95">
            <w:pPr>
              <w:rPr>
                <w:rFonts w:ascii="Arial"/>
                <w:sz w:val="21"/>
              </w:rPr>
            </w:pPr>
          </w:p>
        </w:tc>
      </w:tr>
      <w:tr w14:paraId="78C63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1128" w:type="dxa"/>
            <w:vMerge w:val="continue"/>
            <w:tcBorders>
              <w:top w:val="nil"/>
            </w:tcBorders>
            <w:vAlign w:val="top"/>
          </w:tcPr>
          <w:p w14:paraId="32594400">
            <w:pPr>
              <w:rPr>
                <w:rFonts w:ascii="Arial"/>
                <w:sz w:val="21"/>
              </w:rPr>
            </w:pPr>
          </w:p>
        </w:tc>
        <w:tc>
          <w:tcPr>
            <w:tcW w:w="6847" w:type="dxa"/>
            <w:vAlign w:val="top"/>
          </w:tcPr>
          <w:p w14:paraId="15E0BCD3">
            <w:pPr>
              <w:spacing w:line="287" w:lineRule="auto"/>
              <w:rPr>
                <w:rFonts w:ascii="Arial"/>
                <w:sz w:val="21"/>
              </w:rPr>
            </w:pPr>
          </w:p>
          <w:p w14:paraId="56C04AED">
            <w:pPr>
              <w:pStyle w:val="6"/>
              <w:spacing w:before="65" w:line="426" w:lineRule="auto"/>
              <w:ind w:left="308" w:right="76" w:hanging="197"/>
            </w:pPr>
            <w:r>
              <w:rPr>
                <w:spacing w:val="8"/>
              </w:rPr>
              <w:t>2.贯彻</w:t>
            </w:r>
            <w:r>
              <w:rPr>
                <w:spacing w:val="-44"/>
              </w:rPr>
              <w:t xml:space="preserve"> </w:t>
            </w:r>
            <w:r>
              <w:rPr>
                <w:spacing w:val="8"/>
              </w:rPr>
              <w:t>“</w:t>
            </w:r>
            <w:r>
              <w:rPr>
                <w:spacing w:val="-76"/>
              </w:rPr>
              <w:t xml:space="preserve"> </w:t>
            </w:r>
            <w:r>
              <w:rPr>
                <w:spacing w:val="8"/>
              </w:rPr>
              <w:t>立德树人”</w:t>
            </w:r>
            <w:r>
              <w:rPr>
                <w:spacing w:val="-71"/>
              </w:rPr>
              <w:t xml:space="preserve"> </w:t>
            </w:r>
            <w:r>
              <w:rPr>
                <w:spacing w:val="8"/>
              </w:rPr>
              <w:t>的教育理念，将思政融入教学活动，突出</w:t>
            </w:r>
            <w:r>
              <w:rPr>
                <w:spacing w:val="-57"/>
              </w:rPr>
              <w:t xml:space="preserve"> </w:t>
            </w:r>
            <w:r>
              <w:rPr>
                <w:spacing w:val="8"/>
              </w:rPr>
              <w:t>“</w:t>
            </w:r>
            <w:r>
              <w:rPr>
                <w:spacing w:val="-56"/>
              </w:rPr>
              <w:t xml:space="preserve"> </w:t>
            </w:r>
            <w:r>
              <w:rPr>
                <w:spacing w:val="8"/>
              </w:rPr>
              <w:t>以患者</w:t>
            </w:r>
            <w:r>
              <w:t xml:space="preserve"> </w:t>
            </w:r>
            <w:r>
              <w:rPr>
                <w:spacing w:val="9"/>
              </w:rPr>
              <w:t>为中心”，注重传授医患沟通方法，体现人文关怀</w:t>
            </w:r>
          </w:p>
        </w:tc>
        <w:tc>
          <w:tcPr>
            <w:tcW w:w="600" w:type="dxa"/>
            <w:vAlign w:val="top"/>
          </w:tcPr>
          <w:p w14:paraId="22F95236">
            <w:pPr>
              <w:spacing w:line="296" w:lineRule="auto"/>
              <w:rPr>
                <w:rFonts w:ascii="Arial"/>
                <w:sz w:val="21"/>
              </w:rPr>
            </w:pPr>
          </w:p>
          <w:p w14:paraId="23FCFD88">
            <w:pPr>
              <w:spacing w:line="297" w:lineRule="auto"/>
              <w:rPr>
                <w:rFonts w:ascii="Arial"/>
                <w:sz w:val="21"/>
              </w:rPr>
            </w:pPr>
          </w:p>
          <w:p w14:paraId="0C197FAA">
            <w:pPr>
              <w:pStyle w:val="6"/>
              <w:spacing w:before="65" w:line="187" w:lineRule="auto"/>
              <w:ind w:left="271"/>
            </w:pPr>
            <w:r>
              <w:t>3</w:t>
            </w:r>
          </w:p>
        </w:tc>
        <w:tc>
          <w:tcPr>
            <w:tcW w:w="589" w:type="dxa"/>
            <w:vAlign w:val="top"/>
          </w:tcPr>
          <w:p w14:paraId="62E56D72">
            <w:pPr>
              <w:rPr>
                <w:rFonts w:ascii="Arial"/>
                <w:sz w:val="21"/>
              </w:rPr>
            </w:pPr>
          </w:p>
        </w:tc>
        <w:tc>
          <w:tcPr>
            <w:tcW w:w="767" w:type="dxa"/>
            <w:vAlign w:val="top"/>
          </w:tcPr>
          <w:p w14:paraId="3A0F3264">
            <w:pPr>
              <w:rPr>
                <w:rFonts w:ascii="Arial"/>
                <w:sz w:val="21"/>
              </w:rPr>
            </w:pPr>
          </w:p>
        </w:tc>
      </w:tr>
    </w:tbl>
    <w:p w14:paraId="08F8CBB3">
      <w:pPr>
        <w:rPr>
          <w:rFonts w:ascii="Arial"/>
          <w:sz w:val="21"/>
        </w:rPr>
      </w:pPr>
    </w:p>
    <w:p w14:paraId="2F9FB47A">
      <w:pPr>
        <w:rPr>
          <w:rFonts w:ascii="Arial" w:hAnsi="Arial" w:eastAsia="Arial" w:cs="Arial"/>
          <w:sz w:val="21"/>
          <w:szCs w:val="21"/>
        </w:rPr>
        <w:sectPr>
          <w:footerReference r:id="rId13" w:type="default"/>
          <w:pgSz w:w="11900" w:h="16840"/>
          <w:pgMar w:top="841" w:right="758" w:bottom="1195" w:left="1205" w:header="0" w:footer="1016" w:gutter="0"/>
          <w:cols w:space="720" w:num="1"/>
        </w:sectPr>
      </w:pPr>
    </w:p>
    <w:p w14:paraId="36108AF3">
      <w:pPr>
        <w:spacing w:before="71"/>
      </w:pPr>
      <w:bookmarkStart w:id="0" w:name="_GoBack"/>
      <w:bookmarkEnd w:id="0"/>
    </w:p>
    <w:tbl>
      <w:tblPr>
        <w:tblStyle w:val="5"/>
        <w:tblW w:w="99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8"/>
        <w:gridCol w:w="6847"/>
        <w:gridCol w:w="600"/>
        <w:gridCol w:w="589"/>
        <w:gridCol w:w="767"/>
      </w:tblGrid>
      <w:tr w14:paraId="4F2F2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1128" w:type="dxa"/>
            <w:vMerge w:val="restart"/>
            <w:tcBorders>
              <w:bottom w:val="nil"/>
            </w:tcBorders>
            <w:vAlign w:val="top"/>
          </w:tcPr>
          <w:p w14:paraId="05A7E9ED">
            <w:pPr>
              <w:rPr>
                <w:rFonts w:ascii="Arial"/>
                <w:sz w:val="21"/>
              </w:rPr>
            </w:pPr>
          </w:p>
        </w:tc>
        <w:tc>
          <w:tcPr>
            <w:tcW w:w="6847" w:type="dxa"/>
            <w:vAlign w:val="top"/>
          </w:tcPr>
          <w:p w14:paraId="572CB94E">
            <w:pPr>
              <w:spacing w:line="288" w:lineRule="auto"/>
              <w:rPr>
                <w:rFonts w:ascii="Arial"/>
                <w:sz w:val="21"/>
              </w:rPr>
            </w:pPr>
          </w:p>
          <w:p w14:paraId="73ECD239">
            <w:pPr>
              <w:pStyle w:val="6"/>
              <w:spacing w:before="65" w:line="426" w:lineRule="auto"/>
              <w:ind w:left="313" w:right="76" w:hanging="203"/>
            </w:pPr>
            <w:r>
              <w:rPr>
                <w:spacing w:val="12"/>
              </w:rPr>
              <w:t>3.床旁查房基本流程、</w:t>
            </w:r>
            <w:r>
              <w:rPr>
                <w:spacing w:val="-31"/>
              </w:rPr>
              <w:t xml:space="preserve"> </w:t>
            </w:r>
            <w:r>
              <w:rPr>
                <w:spacing w:val="12"/>
              </w:rPr>
              <w:t>内涵与效果达到教学查房要求，病例讨论过程互</w:t>
            </w:r>
            <w:r>
              <w:t xml:space="preserve"> </w:t>
            </w:r>
            <w:r>
              <w:rPr>
                <w:spacing w:val="3"/>
              </w:rPr>
              <w:t>动充分</w:t>
            </w:r>
          </w:p>
        </w:tc>
        <w:tc>
          <w:tcPr>
            <w:tcW w:w="600" w:type="dxa"/>
            <w:vAlign w:val="top"/>
          </w:tcPr>
          <w:p w14:paraId="30BE2D54">
            <w:pPr>
              <w:spacing w:line="296" w:lineRule="auto"/>
              <w:rPr>
                <w:rFonts w:ascii="Arial"/>
                <w:sz w:val="21"/>
              </w:rPr>
            </w:pPr>
          </w:p>
          <w:p w14:paraId="3124FD27">
            <w:pPr>
              <w:spacing w:line="296" w:lineRule="auto"/>
              <w:rPr>
                <w:rFonts w:ascii="Arial"/>
                <w:sz w:val="21"/>
              </w:rPr>
            </w:pPr>
          </w:p>
          <w:p w14:paraId="3993F0CE">
            <w:pPr>
              <w:pStyle w:val="6"/>
              <w:spacing w:before="65" w:line="185" w:lineRule="auto"/>
              <w:ind w:left="262"/>
            </w:pPr>
            <w:r>
              <w:t>4</w:t>
            </w:r>
          </w:p>
        </w:tc>
        <w:tc>
          <w:tcPr>
            <w:tcW w:w="589" w:type="dxa"/>
            <w:vAlign w:val="top"/>
          </w:tcPr>
          <w:p w14:paraId="481685FE">
            <w:pPr>
              <w:rPr>
                <w:rFonts w:ascii="Arial"/>
                <w:sz w:val="21"/>
              </w:rPr>
            </w:pPr>
          </w:p>
        </w:tc>
        <w:tc>
          <w:tcPr>
            <w:tcW w:w="767" w:type="dxa"/>
            <w:vAlign w:val="top"/>
          </w:tcPr>
          <w:p w14:paraId="1113918C">
            <w:pPr>
              <w:rPr>
                <w:rFonts w:ascii="Arial"/>
                <w:sz w:val="21"/>
              </w:rPr>
            </w:pPr>
          </w:p>
        </w:tc>
      </w:tr>
      <w:tr w14:paraId="63334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3" w:hRule="atLeast"/>
        </w:trPr>
        <w:tc>
          <w:tcPr>
            <w:tcW w:w="1128" w:type="dxa"/>
            <w:vMerge w:val="continue"/>
            <w:tcBorders>
              <w:top w:val="nil"/>
            </w:tcBorders>
            <w:vAlign w:val="top"/>
          </w:tcPr>
          <w:p w14:paraId="2F140D99">
            <w:pPr>
              <w:rPr>
                <w:rFonts w:ascii="Arial"/>
                <w:sz w:val="21"/>
              </w:rPr>
            </w:pPr>
          </w:p>
        </w:tc>
        <w:tc>
          <w:tcPr>
            <w:tcW w:w="6847" w:type="dxa"/>
            <w:vAlign w:val="top"/>
          </w:tcPr>
          <w:p w14:paraId="1467412F">
            <w:pPr>
              <w:spacing w:line="283" w:lineRule="auto"/>
              <w:rPr>
                <w:rFonts w:ascii="Arial"/>
                <w:sz w:val="21"/>
              </w:rPr>
            </w:pPr>
          </w:p>
          <w:p w14:paraId="087F9F6F">
            <w:pPr>
              <w:pStyle w:val="6"/>
              <w:spacing w:before="65" w:line="426" w:lineRule="auto"/>
              <w:ind w:left="298" w:right="136" w:hanging="188"/>
            </w:pPr>
            <w:r>
              <w:rPr>
                <w:spacing w:val="12"/>
              </w:rPr>
              <w:t>4.指导医师教学理念清晰、教学热情饱满；查房示范到位、关注患者；</w:t>
            </w:r>
            <w:r>
              <w:rPr>
                <w:spacing w:val="10"/>
              </w:rPr>
              <w:t xml:space="preserve"> </w:t>
            </w:r>
            <w:r>
              <w:rPr>
                <w:spacing w:val="7"/>
              </w:rPr>
              <w:t>着装整洁、仪态端庄、用语规范、</w:t>
            </w:r>
            <w:r>
              <w:rPr>
                <w:spacing w:val="-50"/>
              </w:rPr>
              <w:t xml:space="preserve"> </w:t>
            </w:r>
            <w:r>
              <w:rPr>
                <w:spacing w:val="7"/>
              </w:rPr>
              <w:t>引导有方</w:t>
            </w:r>
          </w:p>
        </w:tc>
        <w:tc>
          <w:tcPr>
            <w:tcW w:w="600" w:type="dxa"/>
            <w:vAlign w:val="top"/>
          </w:tcPr>
          <w:p w14:paraId="01234897">
            <w:pPr>
              <w:spacing w:line="294" w:lineRule="auto"/>
              <w:rPr>
                <w:rFonts w:ascii="Arial"/>
                <w:sz w:val="21"/>
              </w:rPr>
            </w:pPr>
          </w:p>
          <w:p w14:paraId="1AFACB13">
            <w:pPr>
              <w:spacing w:line="295" w:lineRule="auto"/>
              <w:rPr>
                <w:rFonts w:ascii="Arial"/>
                <w:sz w:val="21"/>
              </w:rPr>
            </w:pPr>
          </w:p>
          <w:p w14:paraId="05040686">
            <w:pPr>
              <w:pStyle w:val="6"/>
              <w:spacing w:before="65" w:line="187" w:lineRule="auto"/>
              <w:ind w:left="271"/>
            </w:pPr>
            <w:r>
              <w:t>3</w:t>
            </w:r>
          </w:p>
        </w:tc>
        <w:tc>
          <w:tcPr>
            <w:tcW w:w="589" w:type="dxa"/>
            <w:vAlign w:val="top"/>
          </w:tcPr>
          <w:p w14:paraId="29BA2D9E">
            <w:pPr>
              <w:rPr>
                <w:rFonts w:ascii="Arial"/>
                <w:sz w:val="21"/>
              </w:rPr>
            </w:pPr>
          </w:p>
        </w:tc>
        <w:tc>
          <w:tcPr>
            <w:tcW w:w="767" w:type="dxa"/>
            <w:vAlign w:val="top"/>
          </w:tcPr>
          <w:p w14:paraId="4B2B4C65">
            <w:pPr>
              <w:rPr>
                <w:rFonts w:ascii="Arial"/>
                <w:sz w:val="21"/>
              </w:rPr>
            </w:pPr>
          </w:p>
        </w:tc>
      </w:tr>
      <w:tr w14:paraId="7E7DB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7975" w:type="dxa"/>
            <w:gridSpan w:val="2"/>
            <w:vAlign w:val="top"/>
          </w:tcPr>
          <w:p w14:paraId="333484BE">
            <w:pPr>
              <w:spacing w:line="286" w:lineRule="auto"/>
              <w:rPr>
                <w:rFonts w:ascii="Arial"/>
                <w:sz w:val="21"/>
              </w:rPr>
            </w:pPr>
          </w:p>
          <w:p w14:paraId="0DEC513D">
            <w:pPr>
              <w:pStyle w:val="6"/>
              <w:spacing w:before="65" w:line="227" w:lineRule="auto"/>
              <w:ind w:left="3796"/>
            </w:pPr>
            <w:r>
              <w:rPr>
                <w:b/>
                <w:bCs/>
                <w:spacing w:val="-3"/>
              </w:rPr>
              <w:t>总分</w:t>
            </w:r>
          </w:p>
        </w:tc>
        <w:tc>
          <w:tcPr>
            <w:tcW w:w="600" w:type="dxa"/>
            <w:vAlign w:val="top"/>
          </w:tcPr>
          <w:p w14:paraId="5ECED585">
            <w:pPr>
              <w:spacing w:line="313" w:lineRule="auto"/>
              <w:rPr>
                <w:rFonts w:ascii="Arial"/>
                <w:sz w:val="21"/>
              </w:rPr>
            </w:pPr>
          </w:p>
          <w:p w14:paraId="02A5546F">
            <w:pPr>
              <w:pStyle w:val="6"/>
              <w:spacing w:before="66" w:line="187" w:lineRule="auto"/>
              <w:ind w:left="162"/>
            </w:pPr>
            <w:r>
              <w:rPr>
                <w:b/>
                <w:bCs/>
                <w:spacing w:val="-4"/>
              </w:rPr>
              <w:t>100</w:t>
            </w:r>
          </w:p>
        </w:tc>
        <w:tc>
          <w:tcPr>
            <w:tcW w:w="589" w:type="dxa"/>
            <w:vAlign w:val="top"/>
          </w:tcPr>
          <w:p w14:paraId="7C43F491">
            <w:pPr>
              <w:rPr>
                <w:rFonts w:ascii="Arial"/>
                <w:sz w:val="21"/>
              </w:rPr>
            </w:pPr>
          </w:p>
        </w:tc>
        <w:tc>
          <w:tcPr>
            <w:tcW w:w="767" w:type="dxa"/>
            <w:vAlign w:val="top"/>
          </w:tcPr>
          <w:p w14:paraId="291596CF">
            <w:pPr>
              <w:rPr>
                <w:rFonts w:ascii="Arial"/>
                <w:sz w:val="21"/>
              </w:rPr>
            </w:pPr>
          </w:p>
        </w:tc>
      </w:tr>
    </w:tbl>
    <w:p w14:paraId="746A463B">
      <w:pPr>
        <w:pStyle w:val="2"/>
        <w:spacing w:before="269" w:line="231" w:lineRule="auto"/>
        <w:ind w:left="715"/>
        <w:rPr>
          <w:sz w:val="20"/>
          <w:szCs w:val="20"/>
        </w:rPr>
      </w:pPr>
      <w:r>
        <w:rPr>
          <w:spacing w:val="2"/>
          <w:sz w:val="20"/>
          <w:szCs w:val="20"/>
        </w:rPr>
        <w:t xml:space="preserve">评价人：                 </w:t>
      </w:r>
      <w:r>
        <w:rPr>
          <w:spacing w:val="1"/>
          <w:sz w:val="20"/>
          <w:szCs w:val="20"/>
        </w:rPr>
        <w:t xml:space="preserve">           评价日期：        年      月       日</w:t>
      </w:r>
    </w:p>
    <w:sectPr>
      <w:footerReference r:id="rId14" w:type="default"/>
      <w:pgSz w:w="11900" w:h="16840"/>
      <w:pgMar w:top="841" w:right="758" w:bottom="1195" w:left="1205" w:header="0" w:footer="101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E1D3E">
    <w:pPr>
      <w:spacing w:line="173" w:lineRule="auto"/>
      <w:ind w:left="4139"/>
      <w:rPr>
        <w:rFonts w:ascii="宋体" w:hAnsi="宋体" w:eastAsia="宋体" w:cs="宋体"/>
        <w:sz w:val="18"/>
        <w:szCs w:val="18"/>
      </w:rPr>
    </w:pPr>
    <w:r>
      <w:rPr>
        <w:rFonts w:ascii="宋体" w:hAnsi="宋体" w:eastAsia="宋体" w:cs="宋体"/>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32CE9">
    <w:pPr>
      <w:spacing w:line="173" w:lineRule="auto"/>
      <w:ind w:left="4675"/>
      <w:rPr>
        <w:rFonts w:ascii="宋体" w:hAnsi="宋体" w:eastAsia="宋体" w:cs="宋体"/>
        <w:sz w:val="18"/>
        <w:szCs w:val="18"/>
      </w:rPr>
    </w:pPr>
    <w:r>
      <w:rPr>
        <w:rFonts w:ascii="宋体" w:hAnsi="宋体" w:eastAsia="宋体" w:cs="宋体"/>
        <w:spacing w:val="-10"/>
        <w:sz w:val="18"/>
        <w:szCs w:val="18"/>
      </w:rPr>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5E0EF">
    <w:pPr>
      <w:spacing w:line="172" w:lineRule="auto"/>
      <w:ind w:left="4128"/>
      <w:rPr>
        <w:rFonts w:ascii="宋体" w:hAnsi="宋体" w:eastAsia="宋体" w:cs="宋体"/>
        <w:sz w:val="18"/>
        <w:szCs w:val="18"/>
      </w:rPr>
    </w:pPr>
    <w:r>
      <w:rPr>
        <w:rFonts w:ascii="宋体" w:hAnsi="宋体" w:eastAsia="宋体" w:cs="宋体"/>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A5BE9">
    <w:pPr>
      <w:spacing w:line="172" w:lineRule="auto"/>
      <w:ind w:left="4129"/>
      <w:rPr>
        <w:rFonts w:ascii="宋体" w:hAnsi="宋体" w:eastAsia="宋体" w:cs="宋体"/>
        <w:sz w:val="18"/>
        <w:szCs w:val="18"/>
      </w:rPr>
    </w:pPr>
    <w:r>
      <w:rPr>
        <w:rFonts w:ascii="宋体" w:hAnsi="宋体" w:eastAsia="宋体" w:cs="宋体"/>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BFDE0">
    <w:pPr>
      <w:spacing w:line="172" w:lineRule="auto"/>
      <w:ind w:left="4125"/>
      <w:rPr>
        <w:rFonts w:ascii="宋体" w:hAnsi="宋体" w:eastAsia="宋体" w:cs="宋体"/>
        <w:sz w:val="18"/>
        <w:szCs w:val="18"/>
      </w:rPr>
    </w:pPr>
    <w:r>
      <w:rPr>
        <w:rFonts w:ascii="宋体" w:hAnsi="宋体" w:eastAsia="宋体" w:cs="宋体"/>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CB1E2">
    <w:pPr>
      <w:spacing w:line="171" w:lineRule="auto"/>
      <w:ind w:left="4129"/>
      <w:rPr>
        <w:rFonts w:ascii="宋体" w:hAnsi="宋体" w:eastAsia="宋体" w:cs="宋体"/>
        <w:sz w:val="18"/>
        <w:szCs w:val="18"/>
      </w:rPr>
    </w:pPr>
    <w:r>
      <w:rPr>
        <w:rFonts w:ascii="宋体" w:hAnsi="宋体" w:eastAsia="宋体" w:cs="宋体"/>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91135">
    <w:pPr>
      <w:spacing w:line="172" w:lineRule="auto"/>
      <w:ind w:left="4127"/>
      <w:rPr>
        <w:rFonts w:ascii="宋体" w:hAnsi="宋体" w:eastAsia="宋体" w:cs="宋体"/>
        <w:sz w:val="18"/>
        <w:szCs w:val="18"/>
      </w:rPr>
    </w:pPr>
    <w:r>
      <w:rPr>
        <w:rFonts w:ascii="宋体" w:hAnsi="宋体" w:eastAsia="宋体" w:cs="宋体"/>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ADFAF">
    <w:pPr>
      <w:spacing w:line="171" w:lineRule="auto"/>
      <w:ind w:left="4130"/>
      <w:rPr>
        <w:rFonts w:ascii="宋体" w:hAnsi="宋体" w:eastAsia="宋体" w:cs="宋体"/>
        <w:sz w:val="18"/>
        <w:szCs w:val="18"/>
      </w:rPr>
    </w:pPr>
    <w:r>
      <w:rPr>
        <w:rFonts w:ascii="宋体" w:hAnsi="宋体" w:eastAsia="宋体" w:cs="宋体"/>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7E252">
    <w:pPr>
      <w:spacing w:line="173" w:lineRule="auto"/>
      <w:ind w:left="4675"/>
      <w:rPr>
        <w:rFonts w:ascii="宋体" w:hAnsi="宋体" w:eastAsia="宋体" w:cs="宋体"/>
        <w:sz w:val="18"/>
        <w:szCs w:val="18"/>
      </w:rPr>
    </w:pPr>
    <w:r>
      <w:rPr>
        <w:rFonts w:ascii="宋体" w:hAnsi="宋体" w:eastAsia="宋体" w:cs="宋体"/>
        <w:spacing w:val="-10"/>
        <w:sz w:val="18"/>
        <w:szCs w:val="18"/>
      </w:rPr>
      <w:t>10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BC615">
    <w:pPr>
      <w:spacing w:line="173" w:lineRule="auto"/>
      <w:ind w:left="4675"/>
      <w:rPr>
        <w:rFonts w:ascii="宋体" w:hAnsi="宋体" w:eastAsia="宋体" w:cs="宋体"/>
        <w:sz w:val="18"/>
        <w:szCs w:val="18"/>
      </w:rPr>
    </w:pPr>
    <w:r>
      <w:rPr>
        <w:rFonts w:ascii="宋体" w:hAnsi="宋体" w:eastAsia="宋体" w:cs="宋体"/>
        <w:spacing w:val="-10"/>
        <w:sz w:val="18"/>
        <w:szCs w:val="18"/>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6A22A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5497</Words>
  <Characters>5569</Characters>
  <TotalTime>7</TotalTime>
  <ScaleCrop>false</ScaleCrop>
  <LinksUpToDate>false</LinksUpToDate>
  <CharactersWithSpaces>5954</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2024-09-19T12:51:00Z</dcterms:created>
  <dc:creator>Administrator</dc:creator>
  <cp:lastModifiedBy>晓馨dolphin</cp:lastModifiedBy>
  <dcterms:modified xsi:type="dcterms:W3CDTF">2024-12-30T03:07:52Z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2024-12-30T10:59:36Z</vt:filetime>
  </property>
  <property fmtid="{D5CDD505-2E9C-101B-9397-08002B2CF9AE}" pid="4" name="KSOTemplateDocerSaveRecord">
    <vt:lpwstr>eyJoZGlkIjoiNWMyYTZjYWJhZjM0YjE3NTc0YThkY2U1MjNmN2NlOGIiLCJ1c2VySWQiOiIxMTc2NDA4NDE0In0=</vt:lpwstr>
  </property>
  <property fmtid="{D5CDD505-2E9C-101B-9397-08002B2CF9AE}" pid="5" name="KSOProductBuildVer">
    <vt:lpwstr>2052-12.1.0.19302</vt:lpwstr>
  </property>
  <property fmtid="{D5CDD505-2E9C-101B-9397-08002B2CF9AE}" pid="6" name="ICV">
    <vt:lpwstr>D053DAB5D0DF48D4A9A4B2826C80E5DE_12</vt:lpwstr>
  </property>
</Properties>
</file>